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EE2C" w14:textId="7B3B166A" w:rsidR="00A4707C" w:rsidRPr="009B66A4" w:rsidRDefault="00A4707C" w:rsidP="00A4707C">
      <w:pPr>
        <w:pStyle w:val="Heading1"/>
        <w:spacing w:line="360" w:lineRule="auto"/>
        <w:rPr>
          <w:rFonts w:ascii="Calibri" w:hAnsi="Calibri" w:cs="Calibri"/>
          <w:b/>
          <w:bCs/>
          <w:color w:val="auto"/>
          <w:sz w:val="20"/>
          <w:szCs w:val="20"/>
        </w:rPr>
      </w:pPr>
      <w:r w:rsidRPr="009B66A4">
        <w:rPr>
          <w:rFonts w:ascii="Calibri" w:hAnsi="Calibri" w:cs="Calibri"/>
          <w:b/>
          <w:bCs/>
          <w:color w:val="auto"/>
          <w:sz w:val="20"/>
          <w:szCs w:val="20"/>
        </w:rPr>
        <w:t xml:space="preserve">A Global </w:t>
      </w:r>
      <w:r w:rsidR="00B23131" w:rsidRPr="009B66A4">
        <w:rPr>
          <w:rFonts w:ascii="Calibri" w:hAnsi="Calibri" w:cs="Calibri"/>
          <w:b/>
          <w:bCs/>
          <w:color w:val="auto"/>
          <w:sz w:val="20"/>
          <w:szCs w:val="20"/>
        </w:rPr>
        <w:t>Narrative</w:t>
      </w:r>
      <w:r w:rsidRPr="009B66A4">
        <w:rPr>
          <w:rFonts w:ascii="Calibri" w:hAnsi="Calibri" w:cs="Calibri"/>
          <w:b/>
          <w:bCs/>
          <w:color w:val="auto"/>
          <w:sz w:val="20"/>
          <w:szCs w:val="20"/>
        </w:rPr>
        <w:t xml:space="preserve"> Review of Comorbidities and Concomitant Supportive Medications among Individuals with Rett Syndrome</w:t>
      </w:r>
    </w:p>
    <w:p w14:paraId="6A6FB18D" w14:textId="77777777" w:rsidR="00DB45B2" w:rsidRPr="009B66A4" w:rsidRDefault="00DB45B2">
      <w:pPr>
        <w:rPr>
          <w:rFonts w:ascii="Calibri" w:hAnsi="Calibri" w:cs="Calibri"/>
          <w:b/>
          <w:bCs/>
          <w:color w:val="000000" w:themeColor="text1"/>
          <w:sz w:val="20"/>
          <w:szCs w:val="20"/>
        </w:rPr>
      </w:pPr>
      <w:r w:rsidRPr="009B66A4">
        <w:rPr>
          <w:rFonts w:ascii="Calibri" w:hAnsi="Calibri" w:cs="Calibri"/>
          <w:b/>
          <w:bCs/>
          <w:i/>
          <w:iCs/>
          <w:color w:val="000000" w:themeColor="text1"/>
          <w:sz w:val="20"/>
          <w:szCs w:val="20"/>
        </w:rPr>
        <w:br w:type="page"/>
      </w:r>
    </w:p>
    <w:p w14:paraId="0C5DE7D4" w14:textId="7483415E" w:rsidR="00804EA5" w:rsidRPr="009B66A4" w:rsidRDefault="00804EA5" w:rsidP="002F09F8">
      <w:pPr>
        <w:pStyle w:val="Caption"/>
        <w:keepNext/>
        <w:rPr>
          <w:rFonts w:ascii="Calibri" w:hAnsi="Calibri" w:cs="Calibri"/>
          <w:b/>
          <w:bCs/>
          <w:i w:val="0"/>
          <w:iCs w:val="0"/>
          <w:color w:val="000000" w:themeColor="text1"/>
          <w:sz w:val="20"/>
          <w:szCs w:val="20"/>
        </w:rPr>
      </w:pPr>
      <w:r w:rsidRPr="009B66A4">
        <w:rPr>
          <w:rFonts w:ascii="Calibri" w:hAnsi="Calibri" w:cs="Calibri"/>
          <w:b/>
          <w:bCs/>
          <w:i w:val="0"/>
          <w:iCs w:val="0"/>
          <w:color w:val="000000" w:themeColor="text1"/>
          <w:sz w:val="20"/>
          <w:szCs w:val="20"/>
        </w:rPr>
        <w:lastRenderedPageBreak/>
        <w:t xml:space="preserve">Supplementary Appendix </w:t>
      </w:r>
    </w:p>
    <w:p w14:paraId="66F550FD" w14:textId="34E33B12" w:rsidR="002F09F8" w:rsidRPr="009B66A4" w:rsidRDefault="002F09F8" w:rsidP="002F09F8">
      <w:pPr>
        <w:pStyle w:val="Caption"/>
        <w:keepNext/>
        <w:rPr>
          <w:rFonts w:ascii="Calibri" w:hAnsi="Calibri" w:cs="Calibri"/>
          <w:i w:val="0"/>
          <w:iCs w:val="0"/>
          <w:color w:val="000000" w:themeColor="text1"/>
          <w:sz w:val="20"/>
          <w:szCs w:val="20"/>
        </w:rPr>
      </w:pPr>
      <w:r w:rsidRPr="009B66A4">
        <w:rPr>
          <w:rFonts w:ascii="Calibri" w:hAnsi="Calibri" w:cs="Calibri"/>
          <w:b/>
          <w:bCs/>
          <w:i w:val="0"/>
          <w:iCs w:val="0"/>
          <w:color w:val="000000" w:themeColor="text1"/>
          <w:sz w:val="20"/>
          <w:szCs w:val="20"/>
        </w:rPr>
        <w:t>Table</w:t>
      </w:r>
      <w:r w:rsidR="00804EA5" w:rsidRPr="009B66A4">
        <w:rPr>
          <w:rFonts w:ascii="Calibri" w:hAnsi="Calibri" w:cs="Calibri"/>
          <w:b/>
          <w:bCs/>
          <w:i w:val="0"/>
          <w:iCs w:val="0"/>
          <w:color w:val="000000" w:themeColor="text1"/>
          <w:sz w:val="20"/>
          <w:szCs w:val="20"/>
        </w:rPr>
        <w:t xml:space="preserve"> S</w:t>
      </w:r>
      <w:r w:rsidRPr="009B66A4">
        <w:rPr>
          <w:rFonts w:ascii="Calibri" w:hAnsi="Calibri" w:cs="Calibri"/>
          <w:b/>
          <w:bCs/>
          <w:i w:val="0"/>
          <w:iCs w:val="0"/>
          <w:color w:val="000000" w:themeColor="text1"/>
          <w:sz w:val="20"/>
          <w:szCs w:val="20"/>
        </w:rPr>
        <w:fldChar w:fldCharType="begin"/>
      </w:r>
      <w:r w:rsidRPr="009B66A4">
        <w:rPr>
          <w:rFonts w:ascii="Calibri" w:hAnsi="Calibri" w:cs="Calibri"/>
          <w:b/>
          <w:bCs/>
          <w:i w:val="0"/>
          <w:iCs w:val="0"/>
          <w:color w:val="000000" w:themeColor="text1"/>
          <w:sz w:val="20"/>
          <w:szCs w:val="20"/>
        </w:rPr>
        <w:instrText xml:space="preserve"> SEQ Table \* ARABIC </w:instrText>
      </w:r>
      <w:r w:rsidRPr="009B66A4">
        <w:rPr>
          <w:rFonts w:ascii="Calibri" w:hAnsi="Calibri" w:cs="Calibri"/>
          <w:b/>
          <w:bCs/>
          <w:i w:val="0"/>
          <w:iCs w:val="0"/>
          <w:color w:val="000000" w:themeColor="text1"/>
          <w:sz w:val="20"/>
          <w:szCs w:val="20"/>
        </w:rPr>
        <w:fldChar w:fldCharType="separate"/>
      </w:r>
      <w:r w:rsidRPr="009B66A4">
        <w:rPr>
          <w:rFonts w:ascii="Calibri" w:hAnsi="Calibri" w:cs="Calibri"/>
          <w:b/>
          <w:bCs/>
          <w:i w:val="0"/>
          <w:iCs w:val="0"/>
          <w:noProof/>
          <w:color w:val="000000" w:themeColor="text1"/>
          <w:sz w:val="20"/>
          <w:szCs w:val="20"/>
        </w:rPr>
        <w:t>1</w:t>
      </w:r>
      <w:r w:rsidRPr="009B66A4">
        <w:rPr>
          <w:rFonts w:ascii="Calibri" w:hAnsi="Calibri" w:cs="Calibri"/>
          <w:b/>
          <w:bCs/>
          <w:i w:val="0"/>
          <w:iCs w:val="0"/>
          <w:color w:val="000000" w:themeColor="text1"/>
          <w:sz w:val="20"/>
          <w:szCs w:val="20"/>
        </w:rPr>
        <w:fldChar w:fldCharType="end"/>
      </w:r>
      <w:r w:rsidRPr="009B66A4">
        <w:rPr>
          <w:rFonts w:ascii="Calibri" w:hAnsi="Calibri" w:cs="Calibri"/>
          <w:b/>
          <w:bCs/>
          <w:i w:val="0"/>
          <w:iCs w:val="0"/>
          <w:color w:val="000000" w:themeColor="text1"/>
          <w:sz w:val="20"/>
          <w:szCs w:val="20"/>
        </w:rPr>
        <w:t>:</w:t>
      </w:r>
      <w:r w:rsidRPr="009B66A4">
        <w:rPr>
          <w:rFonts w:ascii="Calibri" w:hAnsi="Calibri" w:cs="Calibri"/>
          <w:i w:val="0"/>
          <w:iCs w:val="0"/>
          <w:color w:val="000000" w:themeColor="text1"/>
          <w:sz w:val="20"/>
          <w:szCs w:val="20"/>
        </w:rPr>
        <w:t xml:space="preserve"> </w:t>
      </w:r>
      <w:r w:rsidRPr="009B66A4">
        <w:rPr>
          <w:rFonts w:ascii="Calibri" w:hAnsi="Calibri" w:cs="Calibri"/>
          <w:b/>
          <w:bCs/>
          <w:i w:val="0"/>
          <w:iCs w:val="0"/>
          <w:color w:val="000000" w:themeColor="text1"/>
          <w:sz w:val="20"/>
          <w:szCs w:val="20"/>
        </w:rPr>
        <w:t>Study Characteristics</w:t>
      </w:r>
    </w:p>
    <w:tbl>
      <w:tblPr>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219"/>
        <w:gridCol w:w="1337"/>
        <w:gridCol w:w="494"/>
        <w:gridCol w:w="497"/>
        <w:gridCol w:w="442"/>
        <w:gridCol w:w="1427"/>
        <w:gridCol w:w="1701"/>
        <w:gridCol w:w="1427"/>
        <w:gridCol w:w="1427"/>
        <w:gridCol w:w="1427"/>
        <w:gridCol w:w="1467"/>
      </w:tblGrid>
      <w:tr w:rsidR="00713B5E" w:rsidRPr="009B66A4" w14:paraId="53434A43" w14:textId="77777777" w:rsidTr="00A3759F">
        <w:trPr>
          <w:trHeight w:val="20"/>
        </w:trPr>
        <w:tc>
          <w:tcPr>
            <w:tcW w:w="1444" w:type="dxa"/>
            <w:shd w:val="clear" w:color="auto" w:fill="D1D1D1" w:themeFill="background2" w:themeFillShade="E6"/>
            <w:vAlign w:val="center"/>
            <w:hideMark/>
          </w:tcPr>
          <w:p w14:paraId="78EBFD72"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Study</w:t>
            </w:r>
          </w:p>
        </w:tc>
        <w:tc>
          <w:tcPr>
            <w:tcW w:w="1194" w:type="dxa"/>
            <w:shd w:val="clear" w:color="auto" w:fill="D1D1D1" w:themeFill="background2" w:themeFillShade="E6"/>
            <w:vAlign w:val="center"/>
            <w:hideMark/>
          </w:tcPr>
          <w:p w14:paraId="1066EA17"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Country</w:t>
            </w:r>
          </w:p>
        </w:tc>
        <w:tc>
          <w:tcPr>
            <w:tcW w:w="1316" w:type="dxa"/>
            <w:shd w:val="clear" w:color="auto" w:fill="D1D1D1" w:themeFill="background2" w:themeFillShade="E6"/>
            <w:vAlign w:val="center"/>
            <w:hideMark/>
          </w:tcPr>
          <w:p w14:paraId="572F2894"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Study design</w:t>
            </w:r>
          </w:p>
        </w:tc>
        <w:tc>
          <w:tcPr>
            <w:tcW w:w="494" w:type="dxa"/>
            <w:shd w:val="clear" w:color="auto" w:fill="D1D1D1" w:themeFill="background2" w:themeFillShade="E6"/>
            <w:vAlign w:val="center"/>
            <w:hideMark/>
          </w:tcPr>
          <w:p w14:paraId="4734A6C2"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CT</w:t>
            </w:r>
          </w:p>
        </w:tc>
        <w:tc>
          <w:tcPr>
            <w:tcW w:w="550" w:type="dxa"/>
            <w:shd w:val="clear" w:color="auto" w:fill="D1D1D1" w:themeFill="background2" w:themeFillShade="E6"/>
            <w:vAlign w:val="center"/>
            <w:hideMark/>
          </w:tcPr>
          <w:p w14:paraId="49EE3705"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CM</w:t>
            </w:r>
          </w:p>
        </w:tc>
        <w:tc>
          <w:tcPr>
            <w:tcW w:w="472" w:type="dxa"/>
            <w:shd w:val="clear" w:color="auto" w:fill="D1D1D1" w:themeFill="background2" w:themeFillShade="E6"/>
            <w:vAlign w:val="center"/>
            <w:hideMark/>
          </w:tcPr>
          <w:p w14:paraId="52C18CCA"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SU</w:t>
            </w:r>
          </w:p>
        </w:tc>
        <w:tc>
          <w:tcPr>
            <w:tcW w:w="1394" w:type="dxa"/>
            <w:shd w:val="clear" w:color="auto" w:fill="D1D1D1" w:themeFill="background2" w:themeFillShade="E6"/>
            <w:vAlign w:val="center"/>
            <w:hideMark/>
          </w:tcPr>
          <w:p w14:paraId="6642F048"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N (Rett syndrome patients)</w:t>
            </w:r>
          </w:p>
        </w:tc>
        <w:tc>
          <w:tcPr>
            <w:tcW w:w="1682" w:type="dxa"/>
            <w:shd w:val="clear" w:color="auto" w:fill="D1D1D1" w:themeFill="background2" w:themeFillShade="E6"/>
            <w:vAlign w:val="center"/>
            <w:hideMark/>
          </w:tcPr>
          <w:p w14:paraId="3108DE43"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Age in years, mean (SD)</w:t>
            </w:r>
            <w:r w:rsidRPr="009B66A4">
              <w:rPr>
                <w:rFonts w:ascii="Calibri" w:eastAsia="Times New Roman" w:hAnsi="Calibri" w:cs="Calibri"/>
                <w:b/>
                <w:bCs/>
                <w:kern w:val="0"/>
                <w:sz w:val="20"/>
                <w:szCs w:val="20"/>
                <w:vertAlign w:val="superscript"/>
                <w14:ligatures w14:val="none"/>
              </w:rPr>
              <w:t>*</w:t>
            </w:r>
          </w:p>
        </w:tc>
        <w:tc>
          <w:tcPr>
            <w:tcW w:w="1394" w:type="dxa"/>
            <w:shd w:val="clear" w:color="auto" w:fill="D1D1D1" w:themeFill="background2" w:themeFillShade="E6"/>
            <w:noWrap/>
            <w:vAlign w:val="center"/>
            <w:hideMark/>
          </w:tcPr>
          <w:p w14:paraId="3C437D97" w14:textId="1C952E79"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 xml:space="preserve">Male, </w:t>
            </w:r>
            <w:r w:rsidR="00802DC2" w:rsidRPr="009B66A4">
              <w:rPr>
                <w:rFonts w:ascii="Calibri" w:eastAsia="Times New Roman" w:hAnsi="Calibri" w:cs="Calibri"/>
                <w:b/>
                <w:bCs/>
                <w:kern w:val="0"/>
                <w:sz w:val="20"/>
                <w:szCs w:val="20"/>
                <w14:ligatures w14:val="none"/>
              </w:rPr>
              <w:t>n (</w:t>
            </w:r>
            <w:r w:rsidRPr="009B66A4">
              <w:rPr>
                <w:rFonts w:ascii="Calibri" w:eastAsia="Times New Roman" w:hAnsi="Calibri" w:cs="Calibri"/>
                <w:b/>
                <w:bCs/>
                <w:kern w:val="0"/>
                <w:sz w:val="20"/>
                <w:szCs w:val="20"/>
                <w14:ligatures w14:val="none"/>
              </w:rPr>
              <w:t>%)</w:t>
            </w:r>
          </w:p>
        </w:tc>
        <w:tc>
          <w:tcPr>
            <w:tcW w:w="1394" w:type="dxa"/>
            <w:shd w:val="clear" w:color="auto" w:fill="D1D1D1" w:themeFill="background2" w:themeFillShade="E6"/>
            <w:noWrap/>
            <w:vAlign w:val="center"/>
            <w:hideMark/>
          </w:tcPr>
          <w:p w14:paraId="0435EE1D" w14:textId="36705E10"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 xml:space="preserve">Female, </w:t>
            </w:r>
            <w:r w:rsidR="00802DC2" w:rsidRPr="009B66A4">
              <w:rPr>
                <w:rFonts w:ascii="Calibri" w:eastAsia="Times New Roman" w:hAnsi="Calibri" w:cs="Calibri"/>
                <w:b/>
                <w:bCs/>
                <w:kern w:val="0"/>
                <w:sz w:val="20"/>
                <w:szCs w:val="20"/>
                <w14:ligatures w14:val="none"/>
              </w:rPr>
              <w:t>n (</w:t>
            </w:r>
            <w:r w:rsidRPr="009B66A4">
              <w:rPr>
                <w:rFonts w:ascii="Calibri" w:eastAsia="Times New Roman" w:hAnsi="Calibri" w:cs="Calibri"/>
                <w:b/>
                <w:bCs/>
                <w:kern w:val="0"/>
                <w:sz w:val="20"/>
                <w:szCs w:val="20"/>
                <w14:ligatures w14:val="none"/>
              </w:rPr>
              <w:t>%)</w:t>
            </w:r>
          </w:p>
        </w:tc>
        <w:tc>
          <w:tcPr>
            <w:tcW w:w="1394" w:type="dxa"/>
            <w:shd w:val="clear" w:color="auto" w:fill="D1D1D1" w:themeFill="background2" w:themeFillShade="E6"/>
            <w:noWrap/>
            <w:vAlign w:val="center"/>
            <w:hideMark/>
          </w:tcPr>
          <w:p w14:paraId="23FC835D" w14:textId="220A7CDD"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 xml:space="preserve">MECP2 mutations, </w:t>
            </w:r>
            <w:r w:rsidR="00B4666A" w:rsidRPr="009B66A4">
              <w:rPr>
                <w:rFonts w:ascii="Calibri" w:eastAsia="Times New Roman" w:hAnsi="Calibri" w:cs="Calibri"/>
                <w:b/>
                <w:bCs/>
                <w:kern w:val="0"/>
                <w:sz w:val="20"/>
                <w:szCs w:val="20"/>
                <w14:ligatures w14:val="none"/>
              </w:rPr>
              <w:t>n (</w:t>
            </w:r>
            <w:r w:rsidRPr="009B66A4">
              <w:rPr>
                <w:rFonts w:ascii="Calibri" w:eastAsia="Times New Roman" w:hAnsi="Calibri" w:cs="Calibri"/>
                <w:b/>
                <w:bCs/>
                <w:kern w:val="0"/>
                <w:sz w:val="20"/>
                <w:szCs w:val="20"/>
                <w14:ligatures w14:val="none"/>
              </w:rPr>
              <w:t>%)</w:t>
            </w:r>
          </w:p>
        </w:tc>
        <w:tc>
          <w:tcPr>
            <w:tcW w:w="1438" w:type="dxa"/>
            <w:shd w:val="clear" w:color="auto" w:fill="D1D1D1" w:themeFill="background2" w:themeFillShade="E6"/>
            <w:vAlign w:val="center"/>
            <w:hideMark/>
          </w:tcPr>
          <w:p w14:paraId="29483C6F" w14:textId="77777777" w:rsidR="002A131B" w:rsidRPr="009B66A4" w:rsidRDefault="002A131B" w:rsidP="002A131B">
            <w:pPr>
              <w:spacing w:after="0" w:line="240" w:lineRule="auto"/>
              <w:jc w:val="center"/>
              <w:rPr>
                <w:rFonts w:ascii="Calibri" w:eastAsia="Times New Roman" w:hAnsi="Calibri" w:cs="Calibri"/>
                <w:b/>
                <w:bCs/>
                <w:kern w:val="0"/>
                <w:sz w:val="20"/>
                <w:szCs w:val="20"/>
                <w14:ligatures w14:val="none"/>
              </w:rPr>
            </w:pPr>
            <w:r w:rsidRPr="009B66A4">
              <w:rPr>
                <w:rFonts w:ascii="Calibri" w:eastAsia="Times New Roman" w:hAnsi="Calibri" w:cs="Calibri"/>
                <w:b/>
                <w:bCs/>
                <w:kern w:val="0"/>
                <w:sz w:val="20"/>
                <w:szCs w:val="20"/>
                <w14:ligatures w14:val="none"/>
              </w:rPr>
              <w:t>Disease severity</w:t>
            </w:r>
          </w:p>
        </w:tc>
      </w:tr>
      <w:tr w:rsidR="00713B5E" w:rsidRPr="009B66A4" w14:paraId="339B41DD" w14:textId="77777777" w:rsidTr="00A3759F">
        <w:trPr>
          <w:trHeight w:val="20"/>
        </w:trPr>
        <w:tc>
          <w:tcPr>
            <w:tcW w:w="1444" w:type="dxa"/>
            <w:noWrap/>
            <w:vAlign w:val="center"/>
            <w:hideMark/>
          </w:tcPr>
          <w:p w14:paraId="5784C14F" w14:textId="2547C65C"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Pepe, 2024</w:t>
            </w:r>
            <w:r w:rsidR="0027189A" w:rsidRPr="009B66A4">
              <w:rPr>
                <w:rFonts w:ascii="Calibri" w:eastAsia="Times New Roman" w:hAnsi="Calibri" w:cs="Calibri"/>
                <w:kern w:val="0"/>
                <w:sz w:val="20"/>
                <w:szCs w:val="20"/>
                <w14:ligatures w14:val="none"/>
              </w:rPr>
              <w:t xml:space="preserve"> </w:t>
            </w:r>
            <w:r w:rsidR="00A80319" w:rsidRPr="009B66A4">
              <w:rPr>
                <w:rFonts w:ascii="Calibri" w:eastAsia="Times New Roman" w:hAnsi="Calibri" w:cs="Calibri"/>
                <w:kern w:val="0"/>
                <w:sz w:val="20"/>
                <w:szCs w:val="20"/>
                <w14:ligatures w14:val="none"/>
              </w:rPr>
              <w:fldChar w:fldCharType="begin"/>
            </w:r>
            <w:r w:rsidR="0027189A" w:rsidRPr="009B66A4">
              <w:rPr>
                <w:rFonts w:ascii="Calibri" w:eastAsia="Times New Roman" w:hAnsi="Calibri" w:cs="Calibri"/>
                <w:kern w:val="0"/>
                <w:sz w:val="20"/>
                <w:szCs w:val="20"/>
                <w14:ligatures w14:val="none"/>
              </w:rPr>
              <w:instrText xml:space="preserve"> ADDIN ZOTERO_ITEM CSL_CITATION {"citationID":"oYOU3jUR","properties":{"formattedCitation":"[1]","plainCitation":"[1]","noteIndex":0},"citationItems":[{"id":2916,"uris":["http://zotero.org/users/11896629/items/DHRXFHSV"],"itemData":{"id":2916,"type":"article-journal","abstract":"Systematic data on endocrinopathies in Rett syndrome (RTT) patients remain limited and inconclusive. The aim of this retrospective observational two-center study was to assess the prevalence of endocrinopathies in a pediatric population of RTT patients. A total of 51 Caucasian patients (47 girls, 4 boys) with a genetically confirmed diagnosis of RTT were enrolled (mean age 9.65 ± 5.9 years). The patients were referred from the Rett Center of two Italian Hospitals for endocrinological evaluation. All the study population underwent clinical and auxological assessments and hormonal workups. MeCP2 mutations were detected in 38 cases (74.5%), CDKL5 deletions in 11 (21.6%), and FOXG1 mutations in 2 (3.9%). Overall, 40 patients were treated with anti-seizure medications. The most frequent endocrinological finding was short stature (47%), followed by menstrual cycle abnormalities (46.2%), weight disorders (45.1%), low bone mineral density (19.6%), hyperprolactinemia (13.7%) and thyroid disorders (9.8%). In the entire study population, endocrinopathies were significantly more frequent in patients with MeCP2 mutations (p = 0.0005), and epilepsy was more frequent in CDKL5 deletions (p = 0.02). In conclusion, our data highlighted that endocrinopathies are not rare in RTT, especially in patients with MeCP2 deletions. Therefore, in the context of a multidisciplinary approach, endocrinological evaluation should be recommended for RTT patients.","container-title":"Genes","DOI":"10.3390/genes15030287","ISSN":"2073-4425","issue":"3","journalAbbreviation":"Genes","language":"en","license":"https://creativecommons.org/licenses/by/4.0/","page":"287","source":"DOI.org (Crossref)","title":"Prevalence of Endocrinopathies in a Cohort of Patients with Rett Syndrome: A Two-Center Observational Study","title-short":"Prevalence of Endocrinopathies in a Cohort of Patients with Rett Syndrome","volume":"15","author":[{"family":"Pepe","given":"Giorgia"},{"family":"Coco","given":"Roberto"},{"family":"Corica","given":"Domenico"},{"family":"Di Rosa","given":"Gabriella"},{"family":"Bossowski","given":"Filip"},{"family":"Skorupska","given":"Magdalena"},{"family":"Aversa","given":"Tommaso"},{"family":"Stagi","given":"Stefano"},{"family":"Wasniewska","given":"Malgorzata"}],"issued":{"date-parts":[["2024",2,24]]}}}],"schema":"https://github.com/citation-style-language/schema/raw/master/csl-citation.json"} </w:instrText>
            </w:r>
            <w:r w:rsidR="00A80319" w:rsidRPr="009B66A4">
              <w:rPr>
                <w:rFonts w:ascii="Calibri" w:eastAsia="Times New Roman" w:hAnsi="Calibri" w:cs="Calibri"/>
                <w:kern w:val="0"/>
                <w:sz w:val="20"/>
                <w:szCs w:val="20"/>
                <w14:ligatures w14:val="none"/>
              </w:rPr>
              <w:fldChar w:fldCharType="separate"/>
            </w:r>
            <w:r w:rsidR="0027189A" w:rsidRPr="009B66A4">
              <w:rPr>
                <w:rFonts w:ascii="Calibri" w:hAnsi="Calibri" w:cs="Calibri"/>
                <w:sz w:val="20"/>
                <w:szCs w:val="20"/>
              </w:rPr>
              <w:t>[1]</w:t>
            </w:r>
            <w:r w:rsidR="00A80319"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1AF8CCC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55D53A19"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7022AD5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D5FED4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41E38D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676B88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51</w:t>
            </w:r>
          </w:p>
        </w:tc>
        <w:tc>
          <w:tcPr>
            <w:tcW w:w="1682" w:type="dxa"/>
            <w:noWrap/>
            <w:vAlign w:val="center"/>
            <w:hideMark/>
          </w:tcPr>
          <w:p w14:paraId="43916CD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9.65 (5.9)</w:t>
            </w:r>
          </w:p>
        </w:tc>
        <w:tc>
          <w:tcPr>
            <w:tcW w:w="1394" w:type="dxa"/>
            <w:noWrap/>
            <w:vAlign w:val="center"/>
            <w:hideMark/>
          </w:tcPr>
          <w:p w14:paraId="3D08E8F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 (7.8%)</w:t>
            </w:r>
          </w:p>
        </w:tc>
        <w:tc>
          <w:tcPr>
            <w:tcW w:w="1394" w:type="dxa"/>
            <w:noWrap/>
            <w:vAlign w:val="center"/>
            <w:hideMark/>
          </w:tcPr>
          <w:p w14:paraId="19DD3CE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47 (92.2%)</w:t>
            </w:r>
          </w:p>
        </w:tc>
        <w:tc>
          <w:tcPr>
            <w:tcW w:w="1394" w:type="dxa"/>
            <w:noWrap/>
            <w:vAlign w:val="center"/>
            <w:hideMark/>
          </w:tcPr>
          <w:p w14:paraId="5776D54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38 (74.5%)</w:t>
            </w:r>
          </w:p>
        </w:tc>
        <w:tc>
          <w:tcPr>
            <w:tcW w:w="1438" w:type="dxa"/>
            <w:noWrap/>
            <w:vAlign w:val="center"/>
            <w:hideMark/>
          </w:tcPr>
          <w:p w14:paraId="04E0800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BCF7588" w14:textId="77777777" w:rsidTr="00A3759F">
        <w:trPr>
          <w:trHeight w:val="20"/>
        </w:trPr>
        <w:tc>
          <w:tcPr>
            <w:tcW w:w="1444" w:type="dxa"/>
            <w:noWrap/>
            <w:vAlign w:val="center"/>
            <w:hideMark/>
          </w:tcPr>
          <w:p w14:paraId="663A8829" w14:textId="5DC64685"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May, 2024 </w:t>
            </w:r>
            <w:r w:rsidR="0027189A" w:rsidRPr="009B66A4">
              <w:rPr>
                <w:rFonts w:ascii="Calibri" w:eastAsia="Times New Roman" w:hAnsi="Calibri" w:cs="Calibri"/>
                <w:kern w:val="0"/>
                <w:sz w:val="20"/>
                <w:szCs w:val="20"/>
                <w14:ligatures w14:val="none"/>
              </w:rPr>
              <w:fldChar w:fldCharType="begin"/>
            </w:r>
            <w:r w:rsidR="0027189A" w:rsidRPr="009B66A4">
              <w:rPr>
                <w:rFonts w:ascii="Calibri" w:eastAsia="Times New Roman" w:hAnsi="Calibri" w:cs="Calibri"/>
                <w:kern w:val="0"/>
                <w:sz w:val="20"/>
                <w:szCs w:val="20"/>
                <w14:ligatures w14:val="none"/>
              </w:rPr>
              <w:instrText xml:space="preserve"> ADDIN ZOTERO_ITEM CSL_CITATION {"citationID":"rotUFDlZ","properties":{"formattedCitation":"[2]","plainCitation":"[2]","noteIndex":0},"citationItems":[{"id":2911,"uris":["http://zotero.org/users/11896629/items/SBHQFB5L"],"itemData":{"id":2911,"type":"article-journal","abstract":"Aim:\n              Patients with Rett syndrome (RTT) experience gastrointestinal (GI) manifestations. This study aimed to describe the prevalence of GI manifestations and the associated medical costs in patients with RTT in the USA.\n              Patients &amp; Methods:\n              The study combined an insurance claims database analysis with a survey of 100 physicians experienced in RTT management.\n              Results:\n              GI manifestations affected 43.0% of 5940 patients, with increased prevalence in pediatric patients (45.6%) relative to adult patients (40.2%). Annualized mean medical cost of managing GI manifestations was $4473. Only 5.9–8.2% of neurologists and pediatricians ranked GI symptom management among the five most important treatment goals.\n              Conclusion:\n              Patients with RTT experience a high burden of GI manifestations, which translate to considerable medical costs. Importantly, the prevalence of GI manifestations was likely underestimated in this study, as only those symptoms which resulted in a healthcare encounter were captured.\n            \n          , \n            Plain language summary\n            \n              What is this article about?\n              Rett syndrome (RTT) is a rare and severe neurodevelopmental disorder that almost exclusively affects girls and women. Patients with RTT develop debilitating symptoms that evolve throughout their lifespan, rendering them severely disabled. Gastrointestinal (GI) manifestations are common in patients with RTT and add to patient burden and caregiver concerns. This study described the prevalence of GI manifestations of RTT and the associated physician perspectives and medical costs in pediatric (&lt;18 years) and adult patients.\n            \n            \n              What were the results?\n              In an analysis of insurance claims data from the USA, GI manifestations were found to affect 43.0% of all patients and were slightly more common in pediatric patients (45.6%) relative to adult patients (40.2%). Mean medical costs of managing GI manifestations amounted to $4473 per patient per year (PPPY) and were somewhat higher in pediatric ($5530 PPPY) than adult ($3341 PPPY) patients. In a survey of 100 US physicians experienced in RTT management, only 5.9% of neurologists and 8.2% of pediatricians ranked management of GI manifestations among the five most important RTT treatment goals.\n            \n            \n              What do the results of the study mean?\n              This study suggests that both pediatric and adult patients with RTT experience a high burden of GI manifestations, which are also associated with considerable medical costs. It is possible to proactively address GI manifestations as part of current routine care, although management of GI symptoms remains under-represented as an RTT treatment goal among treating physicians.\n            \n          , \n            Tweetable abstract\n            Rett syndrome (RTT) is a rare and debilitating genetic disease. By combining claims data with a physician survey, we report on the prevalence, costs, and physicians' management strategies of gastrointestinal symptoms associated with RTT.","container-title":"Journal of Comparative Effectiveness Research","DOI":"10.57264/cer-2023-0054","ISSN":"2042-6305, 2042-6313","issue":"1","journalAbbreviation":"J. Comp. Eff. Res.","language":"en","page":"e230054","source":"DOI.org (Crossref)","title":"Gastrointestinal manifestations in pediatric and adult patients with Rett syndrome: an analysis of US claims and physician survey data","title-short":"Gastrointestinal manifestations in pediatric and adult patients with Rett syndrome","volume":"13","author":[{"family":"May","given":"Damian M"},{"family":"Neul","given":"Jeffrey"},{"family":"Piña-Garza","given":"Jesús Eric"},{"family":"Kponee-Shovein","given":"Kalé"},{"family":"Satija","given":"Ambika"},{"family":"Mahendran","given":"Malena"},{"family":"Downes","given":"Nathaniel"},{"family":"Sheng","given":"Kristy"},{"family":"Lema","given":"Neema"},{"family":"Boca","given":"Andra"},{"family":"Lefebvre","given":"Patrick"},{"family":"Abler","given":"Victor"},{"family":"Youakim","given":"James M"},{"family":"Cheng","given":"Wendy Y"}],"issued":{"date-parts":[["2024",1]]}}}],"schema":"https://github.com/citation-style-language/schema/raw/master/csl-citation.json"} </w:instrText>
            </w:r>
            <w:r w:rsidR="0027189A" w:rsidRPr="009B66A4">
              <w:rPr>
                <w:rFonts w:ascii="Calibri" w:eastAsia="Times New Roman" w:hAnsi="Calibri" w:cs="Calibri"/>
                <w:kern w:val="0"/>
                <w:sz w:val="20"/>
                <w:szCs w:val="20"/>
                <w14:ligatures w14:val="none"/>
              </w:rPr>
              <w:fldChar w:fldCharType="separate"/>
            </w:r>
            <w:r w:rsidR="0027189A" w:rsidRPr="009B66A4">
              <w:rPr>
                <w:rFonts w:ascii="Calibri" w:hAnsi="Calibri" w:cs="Calibri"/>
                <w:sz w:val="20"/>
                <w:szCs w:val="20"/>
              </w:rPr>
              <w:t>[2]</w:t>
            </w:r>
            <w:r w:rsidR="0027189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E8674A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3736B3E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48A0F225"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17662F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5C04CD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D4FBDA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5940</w:t>
            </w:r>
          </w:p>
        </w:tc>
        <w:tc>
          <w:tcPr>
            <w:tcW w:w="1682" w:type="dxa"/>
            <w:noWrap/>
            <w:vAlign w:val="center"/>
            <w:hideMark/>
          </w:tcPr>
          <w:p w14:paraId="472B6D5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 (14.5)</w:t>
            </w:r>
          </w:p>
        </w:tc>
        <w:tc>
          <w:tcPr>
            <w:tcW w:w="1394" w:type="dxa"/>
            <w:noWrap/>
            <w:vAlign w:val="center"/>
            <w:hideMark/>
          </w:tcPr>
          <w:p w14:paraId="680E428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61AF70F"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5,940 (100%)</w:t>
            </w:r>
          </w:p>
        </w:tc>
        <w:tc>
          <w:tcPr>
            <w:tcW w:w="1394" w:type="dxa"/>
            <w:noWrap/>
            <w:vAlign w:val="center"/>
            <w:hideMark/>
          </w:tcPr>
          <w:p w14:paraId="5384AEE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4368D1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839A9BA" w14:textId="77777777" w:rsidTr="00A3759F">
        <w:trPr>
          <w:trHeight w:val="20"/>
        </w:trPr>
        <w:tc>
          <w:tcPr>
            <w:tcW w:w="1444" w:type="dxa"/>
            <w:noWrap/>
            <w:vAlign w:val="center"/>
            <w:hideMark/>
          </w:tcPr>
          <w:p w14:paraId="40DCDBDE" w14:textId="604854B3"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Weeda, 2024</w:t>
            </w:r>
            <w:r w:rsidR="00FF391D" w:rsidRPr="009B66A4">
              <w:rPr>
                <w:rFonts w:ascii="Calibri" w:eastAsia="Times New Roman" w:hAnsi="Calibri" w:cs="Calibri"/>
                <w:kern w:val="0"/>
                <w:sz w:val="20"/>
                <w:szCs w:val="20"/>
                <w14:ligatures w14:val="none"/>
              </w:rPr>
              <w:t xml:space="preserve"> </w:t>
            </w:r>
            <w:r w:rsidR="00FF391D" w:rsidRPr="009B66A4">
              <w:rPr>
                <w:rFonts w:ascii="Calibri" w:eastAsia="Times New Roman" w:hAnsi="Calibri" w:cs="Calibri"/>
                <w:kern w:val="0"/>
                <w:sz w:val="20"/>
                <w:szCs w:val="20"/>
                <w14:ligatures w14:val="none"/>
              </w:rPr>
              <w:fldChar w:fldCharType="begin"/>
            </w:r>
            <w:r w:rsidR="00FF391D" w:rsidRPr="009B66A4">
              <w:rPr>
                <w:rFonts w:ascii="Calibri" w:eastAsia="Times New Roman" w:hAnsi="Calibri" w:cs="Calibri"/>
                <w:kern w:val="0"/>
                <w:sz w:val="20"/>
                <w:szCs w:val="20"/>
                <w14:ligatures w14:val="none"/>
              </w:rPr>
              <w:instrText xml:space="preserve"> ADDIN ZOTERO_ITEM CSL_CITATION {"citationID":"KXdliIOz","properties":{"formattedCitation":"[3]","plainCitation":"[3]","noteIndex":0},"citationItems":[{"id":2910,"uris":["http://zotero.org/users/11896629/items/AQLXCR79"],"itemData":{"id":2910,"type":"article-journal","container-title":"Developmental Neurorehabilitation","DOI":"10.1080/17518423.2024.2365794","ISSN":"1751-8423, 1751-8431","issue":"3-4","journalAbbreviation":"Developmental Neurorehabilitation","language":"en","page":"126-133","source":"DOI.org (Crossref)","title":"Identification of Predictors for Progression of Scoliosis in Rett Syndrome","volume":"27","author":[{"family":"Weeda","given":"J.E"},{"family":"Van Kuijk","given":"S.M.J"},{"family":"Van Den Berg","given":"M.P"},{"family":"Bastiaenen","given":"C.H.G"},{"family":"Borst","given":"H.E"},{"family":"Van Rhijn","given":"L.W"},{"family":"De Bie","given":"R.A"}],"issued":{"date-parts":[["2024",5,18]]}}}],"schema":"https://github.com/citation-style-language/schema/raw/master/csl-citation.json"} </w:instrText>
            </w:r>
            <w:r w:rsidR="00FF391D" w:rsidRPr="009B66A4">
              <w:rPr>
                <w:rFonts w:ascii="Calibri" w:eastAsia="Times New Roman" w:hAnsi="Calibri" w:cs="Calibri"/>
                <w:kern w:val="0"/>
                <w:sz w:val="20"/>
                <w:szCs w:val="20"/>
                <w14:ligatures w14:val="none"/>
              </w:rPr>
              <w:fldChar w:fldCharType="separate"/>
            </w:r>
            <w:r w:rsidR="00FF391D" w:rsidRPr="009B66A4">
              <w:rPr>
                <w:rFonts w:ascii="Calibri" w:hAnsi="Calibri" w:cs="Calibri"/>
                <w:sz w:val="20"/>
                <w:szCs w:val="20"/>
              </w:rPr>
              <w:t>[3]</w:t>
            </w:r>
            <w:r w:rsidR="00FF391D"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73EB97F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Netherlands</w:t>
            </w:r>
          </w:p>
        </w:tc>
        <w:tc>
          <w:tcPr>
            <w:tcW w:w="1316" w:type="dxa"/>
            <w:noWrap/>
            <w:vAlign w:val="center"/>
            <w:hideMark/>
          </w:tcPr>
          <w:p w14:paraId="30326B3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1947567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60CD3CB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C9F33B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4290ABC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64</w:t>
            </w:r>
          </w:p>
        </w:tc>
        <w:tc>
          <w:tcPr>
            <w:tcW w:w="1682" w:type="dxa"/>
            <w:noWrap/>
            <w:vAlign w:val="center"/>
            <w:hideMark/>
          </w:tcPr>
          <w:p w14:paraId="431AF47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6.11 (3.17)</w:t>
            </w:r>
          </w:p>
        </w:tc>
        <w:tc>
          <w:tcPr>
            <w:tcW w:w="1394" w:type="dxa"/>
            <w:noWrap/>
            <w:vAlign w:val="center"/>
            <w:hideMark/>
          </w:tcPr>
          <w:p w14:paraId="7C2261A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E08783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64 (100%)</w:t>
            </w:r>
          </w:p>
        </w:tc>
        <w:tc>
          <w:tcPr>
            <w:tcW w:w="1394" w:type="dxa"/>
            <w:noWrap/>
            <w:vAlign w:val="center"/>
            <w:hideMark/>
          </w:tcPr>
          <w:p w14:paraId="35F8B34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102170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0F5F213" w14:textId="77777777" w:rsidTr="00A3759F">
        <w:trPr>
          <w:trHeight w:val="20"/>
        </w:trPr>
        <w:tc>
          <w:tcPr>
            <w:tcW w:w="1444" w:type="dxa"/>
            <w:noWrap/>
            <w:vAlign w:val="center"/>
            <w:hideMark/>
          </w:tcPr>
          <w:p w14:paraId="07312408" w14:textId="135C92E2"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Leoncini, 2024</w:t>
            </w:r>
            <w:r w:rsidR="00FF391D" w:rsidRPr="009B66A4">
              <w:rPr>
                <w:rFonts w:ascii="Calibri" w:eastAsia="Times New Roman" w:hAnsi="Calibri" w:cs="Calibri"/>
                <w:kern w:val="0"/>
                <w:sz w:val="20"/>
                <w:szCs w:val="20"/>
                <w14:ligatures w14:val="none"/>
              </w:rPr>
              <w:t xml:space="preserve"> </w:t>
            </w:r>
            <w:r w:rsidR="00FF391D" w:rsidRPr="009B66A4">
              <w:rPr>
                <w:rFonts w:ascii="Calibri" w:eastAsia="Times New Roman" w:hAnsi="Calibri" w:cs="Calibri"/>
                <w:kern w:val="0"/>
                <w:sz w:val="20"/>
                <w:szCs w:val="20"/>
                <w14:ligatures w14:val="none"/>
              </w:rPr>
              <w:fldChar w:fldCharType="begin"/>
            </w:r>
            <w:r w:rsidR="00FF391D" w:rsidRPr="009B66A4">
              <w:rPr>
                <w:rFonts w:ascii="Calibri" w:eastAsia="Times New Roman" w:hAnsi="Calibri" w:cs="Calibri"/>
                <w:kern w:val="0"/>
                <w:sz w:val="20"/>
                <w:szCs w:val="20"/>
                <w14:ligatures w14:val="none"/>
              </w:rPr>
              <w:instrText xml:space="preserve"> ADDIN ZOTERO_ITEM CSL_CITATION {"citationID":"5hHPbfDk","properties":{"formattedCitation":"[4]","plainCitation":"[4]","noteIndex":0},"citationItems":[{"id":2927,"uris":["http://zotero.org/users/11896629/items/VQK3A9YG"],"itemData":{"id":2927,"type":"article-journal","abstract":"Background\n              \n                Sleep is disturbed in Rett syndrome (RTT), a rare and progressive neurodevelopmental disorder primarily affecting female patients (prevalence 7.1/100,000 female patients) linked to pathogenic variations in the X-linked methyl-CpG-binding protein 2 (\n                MECP2\n                ) gene. Autonomic nervous system dysfunction with a predominance of the sympathetic nervous system (SNS) over the parasympathetic nervous system (PSNS) is reported in RTT, along with exercise fatigue and increased sudden death risk. The aim of the present study was to test the feasibility of a continuous 24 h non-invasive home monitoring of the biological vitals (biovitals) by an innovative wearable sensor device in pediatric and adolescent/adult RTT patients.\n              \n            \n            \n              Methods\n              \n                A total of 10 female patients (mean age 18.3 ± 9.4 years, range 4.7–35.5 years) with typical RTT and\n                MECP2\n                pathogenic variations were enrolled. Clinical severity was assessed by validated scales. Heart rate (HR), respiratory rate (RR), and skin temperature (SkT) were monitored by the YouCare Wearable Medical Device (Accyourate Group SpA, L’Aquila, Italy). The average percentage of maximum HR (HRmax%) was calculated. Heart rate variability (HRV) was expressed by consolidated time-domain and frequency-domain parameters. The HR/LF (low frequency) ratio, indicating SNS activation under dynamic exercise, was calculated. Simultaneous continuous measurement of indoor air quality variables was performed and the patients’ contributions to the surrounding water vapor partial pressure [P\n                H2O\n                (pt)] and carbon dioxide [P\n                CO2\n                (pt)] were indirectly estimated.\n              \n            \n            \n              Results\n              \n                Of the 6,559.79 h of biovital recordings, 5051.03 h (77%) were valid for data interpretation. Sleep and wake hours were 9.0 ± 1.1 h and 14.9 ± 1.1 h, respectively. HRmax % [median: 71.86% (interquartile range 61.03–82%)] and HR/LF [median: 3.75 (interquartile range 3.19–5.05)] were elevated, independent from the wake–sleep cycle. The majority of HRV time- and frequency-domain parameters were significantly higher in the pediatric patients (\n                p\n                 ≤ 0.031). The HRV HR/LF ratio was associated with phenotype severity, disease progression, clinical sleep disorder, subclinical hypoxia, and electroencephalographic observations of multifocal epileptic activity and general background slowing.\n              \n            \n            \n              Conclusion\n              Our findings indicate the feasibility of a continuous 24-h non-invasive home monitoring of biovital parameters in RTT. Moreover, for the first time, HRmax% and the HR/LF ratio were identified as potential objective markers of fatigue, illness severity, and disease progression.","container-title":"Frontiers in Neurology","DOI":"10.3389/fneur.2024.1388506","ISSN":"1664-2295","journalAbbreviation":"Front. Neurol.","page":"1388506","source":"DOI.org (Crossref)","title":"24-h continuous non-invasive multiparameter home monitoring of vitals in patients with Rett syndrome by an innovative wearable technology: evidence of an overlooked chronic fatigue status","title-short":"24-h continuous non-invasive multiparameter home monitoring of vitals in patients with Rett syndrome by an innovative wearable technology","volume":"15","author":[{"family":"Leoncini","given":"Silvia"},{"family":"Boasiako","given":"Lidia"},{"family":"Di Lucia","given":"Sofia"},{"family":"Beker","given":"Amir"},{"family":"Scandurra","given":"Valeria"},{"family":"Vignoli","given":"Aglaia"},{"family":"Canevini","given":"Maria Paola"},{"family":"Prato","given":"Giulia"},{"family":"Nobili","given":"Lino"},{"family":"Nicotera","given":"Antonio Gennaro"},{"family":"Di Rosa","given":"Gabriella"},{"family":"Chiarini","given":"Maria Beatrice Testa"},{"family":"Cutrera","given":"Renato"},{"family":"Grosso","given":"Salvatore"},{"family":"Lazzeri","given":"Giacomo"},{"family":"Tongiorgi","given":"Enrico"},{"family":"Morano","given":"Pasquale"},{"family":"Botteghi","given":"Matteo"},{"family":"Barducci","given":"Alessandro"},{"family":"De Felice","given":"Claudio"}],"issued":{"date-parts":[["2024",6,17]]}}}],"schema":"https://github.com/citation-style-language/schema/raw/master/csl-citation.json"} </w:instrText>
            </w:r>
            <w:r w:rsidR="00FF391D" w:rsidRPr="009B66A4">
              <w:rPr>
                <w:rFonts w:ascii="Calibri" w:eastAsia="Times New Roman" w:hAnsi="Calibri" w:cs="Calibri"/>
                <w:kern w:val="0"/>
                <w:sz w:val="20"/>
                <w:szCs w:val="20"/>
                <w14:ligatures w14:val="none"/>
              </w:rPr>
              <w:fldChar w:fldCharType="separate"/>
            </w:r>
            <w:r w:rsidR="00FF391D" w:rsidRPr="009B66A4">
              <w:rPr>
                <w:rFonts w:ascii="Calibri" w:hAnsi="Calibri" w:cs="Calibri"/>
                <w:sz w:val="20"/>
                <w:szCs w:val="20"/>
              </w:rPr>
              <w:t>[4]</w:t>
            </w:r>
            <w:r w:rsidR="00FF391D"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03400A1F"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4AD0F81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4DCB5ADC"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D69911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5F04A7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E66988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w:t>
            </w:r>
          </w:p>
        </w:tc>
        <w:tc>
          <w:tcPr>
            <w:tcW w:w="1682" w:type="dxa"/>
            <w:noWrap/>
            <w:vAlign w:val="center"/>
            <w:hideMark/>
          </w:tcPr>
          <w:p w14:paraId="10F5EA8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18.3 (9)</w:t>
            </w:r>
          </w:p>
        </w:tc>
        <w:tc>
          <w:tcPr>
            <w:tcW w:w="1394" w:type="dxa"/>
            <w:noWrap/>
            <w:vAlign w:val="center"/>
            <w:hideMark/>
          </w:tcPr>
          <w:p w14:paraId="4532159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2D72A9E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394" w:type="dxa"/>
            <w:noWrap/>
            <w:vAlign w:val="center"/>
            <w:hideMark/>
          </w:tcPr>
          <w:p w14:paraId="22EBF1C9"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438" w:type="dxa"/>
            <w:noWrap/>
            <w:vAlign w:val="center"/>
            <w:hideMark/>
          </w:tcPr>
          <w:p w14:paraId="50A765B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scores, mean (SD; range): 21.3 (5.2; 15 – 32)</w:t>
            </w:r>
          </w:p>
        </w:tc>
      </w:tr>
      <w:tr w:rsidR="00713B5E" w:rsidRPr="009B66A4" w14:paraId="6D8D3209" w14:textId="77777777" w:rsidTr="00A3759F">
        <w:trPr>
          <w:trHeight w:val="20"/>
        </w:trPr>
        <w:tc>
          <w:tcPr>
            <w:tcW w:w="1444" w:type="dxa"/>
            <w:noWrap/>
            <w:vAlign w:val="center"/>
            <w:hideMark/>
          </w:tcPr>
          <w:p w14:paraId="36549F84" w14:textId="7C7C841B"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Zade, 2024</w:t>
            </w:r>
            <w:r w:rsidR="00FF391D" w:rsidRPr="009B66A4">
              <w:rPr>
                <w:rFonts w:ascii="Calibri" w:eastAsia="Times New Roman" w:hAnsi="Calibri" w:cs="Calibri"/>
                <w:kern w:val="0"/>
                <w:sz w:val="20"/>
                <w:szCs w:val="20"/>
                <w14:ligatures w14:val="none"/>
              </w:rPr>
              <w:fldChar w:fldCharType="begin"/>
            </w:r>
            <w:r w:rsidR="00FF391D" w:rsidRPr="009B66A4">
              <w:rPr>
                <w:rFonts w:ascii="Calibri" w:eastAsia="Times New Roman" w:hAnsi="Calibri" w:cs="Calibri"/>
                <w:kern w:val="0"/>
                <w:sz w:val="20"/>
                <w:szCs w:val="20"/>
                <w14:ligatures w14:val="none"/>
              </w:rPr>
              <w:instrText xml:space="preserve"> ADDIN ZOTERO_ITEM CSL_CITATION {"citationID":"WYDTYGvT","properties":{"formattedCitation":"[5]","plainCitation":"[5]","noteIndex":0},"citationItems":[{"id":2908,"uris":["http://zotero.org/users/11896629/items/ZMRTHAEK"],"itemData":{"id":2908,"type":"article-journal","abstract":"Abstract\n            \n              Background\n              \n                Rett syndrome (RTT) is a rare neurodevelopmental condition associated with mutations in the gene coding for the methyl-CpG-binding protein 2 (\n                MECP2\n                ). It is primarily observed in girls and affects individuals globally. The understanding of the neurobiology of RTT and patient management has been improved by studies that describe the demographic and clinical presentation of individuals with RTT. However, in Ireland, there is a scarcity of data regarding individuals with RTT, which impedes the ability to fully characterize the Irish RTT population. Together with the Rett Syndrome Association of Ireland (RSAI), we prepared a questionnaire to determine the characteristics of RTT individuals in Ireland. Twenty-five families have participated in the study to date, providing information about demographics, genetics, familial history, clinical features, and regression.\n              \n            \n            \n              Results\n              The results show that Irish individuals with RTT have comparable presentation with respect to individuals in other countries; however, they had a better response to anti-epileptic drugs, and fewer skeletal deformities were reported. Nonetheless, seizures, involuntary movements and regression were more frequently observed in Irish individuals. One of the main findings of this study is the limited genetic information available to individuals to support the clinical diagnosis of RTT.\n            \n            \n              Conclusions\n              Despite the limited sample size, this study is the first to characterize the RTT population in Ireland and highlights the importance of having a swift access to genetic testing to sharpen the characterization of the phenotype and increase the visibility of Irish individuals in the international RTT community.\n            \n            \n              Graphical abstract","container-title":"Orphanet Journal of Rare Diseases","DOI":"10.1186/s13023-024-03046-8","ISSN":"1750-1172","issue":"1","journalAbbreviation":"Orphanet J Rare Dis","language":"en","page":"34","source":"DOI.org (Crossref)","title":"Rett syndrome in Ireland: a demographic study","title-short":"Rett syndrome in Ireland","volume":"19","author":[{"family":"Zade","given":"Komal"},{"family":"Campbell","given":"Ciara"},{"family":"Bach","given":"Snow"},{"family":"Fernandes","given":"Hazel"},{"family":"Tropea","given":"Daniela"}],"issued":{"date-parts":[["2024",1,31]]}}}],"schema":"https://github.com/citation-style-language/schema/raw/master/csl-citation.json"} </w:instrText>
            </w:r>
            <w:r w:rsidR="00FF391D" w:rsidRPr="009B66A4">
              <w:rPr>
                <w:rFonts w:ascii="Calibri" w:eastAsia="Times New Roman" w:hAnsi="Calibri" w:cs="Calibri"/>
                <w:kern w:val="0"/>
                <w:sz w:val="20"/>
                <w:szCs w:val="20"/>
                <w14:ligatures w14:val="none"/>
              </w:rPr>
              <w:fldChar w:fldCharType="separate"/>
            </w:r>
            <w:r w:rsidR="00FF391D" w:rsidRPr="009B66A4">
              <w:rPr>
                <w:rFonts w:ascii="Calibri" w:hAnsi="Calibri" w:cs="Calibri"/>
                <w:sz w:val="20"/>
                <w:szCs w:val="20"/>
              </w:rPr>
              <w:t>[5]</w:t>
            </w:r>
            <w:r w:rsidR="00FF391D"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677851E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Ireland</w:t>
            </w:r>
          </w:p>
        </w:tc>
        <w:tc>
          <w:tcPr>
            <w:tcW w:w="1316" w:type="dxa"/>
            <w:noWrap/>
            <w:vAlign w:val="center"/>
            <w:hideMark/>
          </w:tcPr>
          <w:p w14:paraId="0DEB320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2EA52D1"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277D87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AB8447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A267C8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w:t>
            </w:r>
          </w:p>
        </w:tc>
        <w:tc>
          <w:tcPr>
            <w:tcW w:w="1682" w:type="dxa"/>
            <w:vAlign w:val="center"/>
            <w:hideMark/>
          </w:tcPr>
          <w:p w14:paraId="1183A92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20.9 (10.855)</w:t>
            </w:r>
          </w:p>
        </w:tc>
        <w:tc>
          <w:tcPr>
            <w:tcW w:w="1394" w:type="dxa"/>
            <w:noWrap/>
            <w:vAlign w:val="center"/>
            <w:hideMark/>
          </w:tcPr>
          <w:p w14:paraId="02FCDE7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39EE3B0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035BCC0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73ADCC8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C3EB910" w14:textId="77777777" w:rsidTr="00A3759F">
        <w:trPr>
          <w:trHeight w:val="20"/>
        </w:trPr>
        <w:tc>
          <w:tcPr>
            <w:tcW w:w="1444" w:type="dxa"/>
            <w:noWrap/>
            <w:vAlign w:val="center"/>
            <w:hideMark/>
          </w:tcPr>
          <w:p w14:paraId="5CC56400" w14:textId="4332E61C"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Peri, 2024 </w:t>
            </w:r>
            <w:r w:rsidR="00B1675A" w:rsidRPr="009B66A4">
              <w:rPr>
                <w:rFonts w:ascii="Calibri" w:eastAsia="Times New Roman" w:hAnsi="Calibri" w:cs="Calibri"/>
                <w:kern w:val="0"/>
                <w:sz w:val="20"/>
                <w:szCs w:val="20"/>
                <w14:ligatures w14:val="none"/>
              </w:rPr>
              <w:fldChar w:fldCharType="begin"/>
            </w:r>
            <w:r w:rsidR="00B1675A" w:rsidRPr="009B66A4">
              <w:rPr>
                <w:rFonts w:ascii="Calibri" w:eastAsia="Times New Roman" w:hAnsi="Calibri" w:cs="Calibri"/>
                <w:kern w:val="0"/>
                <w:sz w:val="20"/>
                <w:szCs w:val="20"/>
                <w14:ligatures w14:val="none"/>
              </w:rPr>
              <w:instrText xml:space="preserve"> ADDIN ZOTERO_ITEM CSL_CITATION {"citationID":"wNKH71X8","properties":{"formattedCitation":"[6]","plainCitation":"[6]","noteIndex":0},"citationItems":[{"id":2894,"uris":["http://zotero.org/users/11896629/items/N5T6UDXY"],"itemData":{"id":2894,"type":"article-journal","container-title":"Pediatric Neurology","DOI":"10.1016/j.pediatrneurol.2024.05.005","ISSN":"08878994","journalAbbreviation":"Pediatric Neurology","language":"en","page":"81-85","source":"DOI.org (Crossref)","title":"The Efficacy of Noninvasive Ventilation in Patients Affected by Rett Syndrome With Hypoventilation","volume":"158","author":[{"family":"Peri","given":"Francesca"},{"family":"Cherchi","given":"Claudio"},{"family":"Chiarini Testa","given":"Maria Beatrice"},{"family":"Pavone","given":"Martino"},{"family":"Verrillo","given":"Elisabetta"},{"family":"Cutrera","given":"Renato"}],"issued":{"date-parts":[["2024",9]]}}}],"schema":"https://github.com/citation-style-language/schema/raw/master/csl-citation.json"} </w:instrText>
            </w:r>
            <w:r w:rsidR="00B1675A" w:rsidRPr="009B66A4">
              <w:rPr>
                <w:rFonts w:ascii="Calibri" w:eastAsia="Times New Roman" w:hAnsi="Calibri" w:cs="Calibri"/>
                <w:kern w:val="0"/>
                <w:sz w:val="20"/>
                <w:szCs w:val="20"/>
                <w14:ligatures w14:val="none"/>
              </w:rPr>
              <w:fldChar w:fldCharType="separate"/>
            </w:r>
            <w:r w:rsidR="00B1675A" w:rsidRPr="009B66A4">
              <w:rPr>
                <w:rFonts w:ascii="Calibri" w:hAnsi="Calibri" w:cs="Calibri"/>
                <w:sz w:val="20"/>
                <w:szCs w:val="20"/>
              </w:rPr>
              <w:t>[6]</w:t>
            </w:r>
            <w:r w:rsidR="00B1675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B9A410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07BD41A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028D29B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C854CB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0DC9AB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4A274819"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w:t>
            </w:r>
          </w:p>
        </w:tc>
        <w:tc>
          <w:tcPr>
            <w:tcW w:w="1682" w:type="dxa"/>
            <w:vAlign w:val="center"/>
            <w:hideMark/>
          </w:tcPr>
          <w:p w14:paraId="6005D21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 (6)</w:t>
            </w:r>
          </w:p>
        </w:tc>
        <w:tc>
          <w:tcPr>
            <w:tcW w:w="1394" w:type="dxa"/>
            <w:vAlign w:val="center"/>
            <w:hideMark/>
          </w:tcPr>
          <w:p w14:paraId="5A5931C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2AD7FB2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3ACA1EA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 (54%)</w:t>
            </w:r>
          </w:p>
        </w:tc>
        <w:tc>
          <w:tcPr>
            <w:tcW w:w="1438" w:type="dxa"/>
            <w:vAlign w:val="center"/>
            <w:hideMark/>
          </w:tcPr>
          <w:p w14:paraId="77066AD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AB5AB4A" w14:textId="77777777" w:rsidTr="00A3759F">
        <w:trPr>
          <w:trHeight w:val="20"/>
        </w:trPr>
        <w:tc>
          <w:tcPr>
            <w:tcW w:w="1444" w:type="dxa"/>
            <w:noWrap/>
            <w:vAlign w:val="center"/>
            <w:hideMark/>
          </w:tcPr>
          <w:p w14:paraId="1D4E82BE" w14:textId="7E1202BB"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Berger, 2024</w:t>
            </w:r>
            <w:r w:rsidR="00B1675A" w:rsidRPr="009B66A4">
              <w:rPr>
                <w:rFonts w:ascii="Calibri" w:eastAsia="Times New Roman" w:hAnsi="Calibri" w:cs="Calibri"/>
                <w:kern w:val="0"/>
                <w:sz w:val="20"/>
                <w:szCs w:val="20"/>
                <w14:ligatures w14:val="none"/>
              </w:rPr>
              <w:fldChar w:fldCharType="begin"/>
            </w:r>
            <w:r w:rsidR="00E53DE3" w:rsidRPr="009B66A4">
              <w:rPr>
                <w:rFonts w:ascii="Calibri" w:eastAsia="Times New Roman" w:hAnsi="Calibri" w:cs="Calibri"/>
                <w:kern w:val="0"/>
                <w:sz w:val="20"/>
                <w:szCs w:val="20"/>
                <w14:ligatures w14:val="none"/>
              </w:rPr>
              <w:instrText xml:space="preserve"> ADDIN ZOTERO_ITEM CSL_CITATION {"citationID":"KoQikEW4","properties":{"formattedCitation":"[7]","plainCitation":"[7]","noteIndex":0},"citationItems":[{"id":3370,"uris":["http://zotero.org/users/11896629/items/QI668CPS"],"itemData":{"id":3370,"type":"article-journal","container-title":"European Journal of Pediatrics","DOI":"10.1007/s00431-024-05668-3","ISSN":"1432-1076","issue":"9","journalAbbreviation":"Eur J Pediatr","language":"en","page":"4085-4091","source":"DOI.org (Crossref)","title":"Nutritional and gastrointestinal manifestations in Rett syndrome: long-term follow-up","title-short":"Nutritional and gastrointestinal manifestations in Rett syndrome","volume":"183","author":[{"family":"Berger","given":"Tal David"},{"family":"Fogel Berger","given":"Chen"},{"family":"Gara","given":"Sewar"},{"family":"Ben-Zeev","given":"Bruria"},{"family":"Weiss","given":"Batia"}],"issued":{"date-parts":[["2024",7,3]]}}}],"schema":"https://github.com/citation-style-language/schema/raw/master/csl-citation.json"} </w:instrText>
            </w:r>
            <w:r w:rsidR="00B1675A" w:rsidRPr="009B66A4">
              <w:rPr>
                <w:rFonts w:ascii="Calibri" w:eastAsia="Times New Roman" w:hAnsi="Calibri" w:cs="Calibri"/>
                <w:kern w:val="0"/>
                <w:sz w:val="20"/>
                <w:szCs w:val="20"/>
                <w14:ligatures w14:val="none"/>
              </w:rPr>
              <w:fldChar w:fldCharType="separate"/>
            </w:r>
            <w:r w:rsidR="00E53DE3" w:rsidRPr="009B66A4">
              <w:rPr>
                <w:rFonts w:ascii="Calibri" w:hAnsi="Calibri" w:cs="Calibri"/>
                <w:sz w:val="20"/>
                <w:szCs w:val="20"/>
              </w:rPr>
              <w:t>[7]</w:t>
            </w:r>
            <w:r w:rsidR="00B1675A"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67FA640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Israel</w:t>
            </w:r>
          </w:p>
        </w:tc>
        <w:tc>
          <w:tcPr>
            <w:tcW w:w="1316" w:type="dxa"/>
            <w:noWrap/>
            <w:vAlign w:val="center"/>
            <w:hideMark/>
          </w:tcPr>
          <w:p w14:paraId="0BDC327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1987E0FC"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CCEE56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843BA0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5944399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141</w:t>
            </w:r>
          </w:p>
        </w:tc>
        <w:tc>
          <w:tcPr>
            <w:tcW w:w="1682" w:type="dxa"/>
            <w:vAlign w:val="center"/>
            <w:hideMark/>
          </w:tcPr>
          <w:p w14:paraId="296245B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3.2 (IQR, 2.3 – 5.7)</w:t>
            </w:r>
          </w:p>
        </w:tc>
        <w:tc>
          <w:tcPr>
            <w:tcW w:w="1394" w:type="dxa"/>
            <w:vAlign w:val="center"/>
            <w:hideMark/>
          </w:tcPr>
          <w:p w14:paraId="3A19AB5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 (1.4%)</w:t>
            </w:r>
          </w:p>
        </w:tc>
        <w:tc>
          <w:tcPr>
            <w:tcW w:w="1394" w:type="dxa"/>
            <w:vAlign w:val="center"/>
            <w:hideMark/>
          </w:tcPr>
          <w:p w14:paraId="05CE057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139 (98.6%)</w:t>
            </w:r>
          </w:p>
        </w:tc>
        <w:tc>
          <w:tcPr>
            <w:tcW w:w="1394" w:type="dxa"/>
            <w:vAlign w:val="center"/>
            <w:hideMark/>
          </w:tcPr>
          <w:p w14:paraId="4BB555B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141 (100%)</w:t>
            </w:r>
          </w:p>
        </w:tc>
        <w:tc>
          <w:tcPr>
            <w:tcW w:w="1438" w:type="dxa"/>
            <w:vAlign w:val="center"/>
            <w:hideMark/>
          </w:tcPr>
          <w:p w14:paraId="06A5338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6CAB6D9" w14:textId="77777777" w:rsidTr="00A3759F">
        <w:trPr>
          <w:trHeight w:val="20"/>
        </w:trPr>
        <w:tc>
          <w:tcPr>
            <w:tcW w:w="1444" w:type="dxa"/>
            <w:noWrap/>
            <w:vAlign w:val="center"/>
            <w:hideMark/>
          </w:tcPr>
          <w:p w14:paraId="7678FE09" w14:textId="500B3A4E"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Huang, 2024</w:t>
            </w:r>
            <w:r w:rsidR="00E53DE3" w:rsidRPr="009B66A4">
              <w:rPr>
                <w:rFonts w:ascii="Calibri" w:eastAsia="Times New Roman" w:hAnsi="Calibri" w:cs="Calibri"/>
                <w:kern w:val="0"/>
                <w:sz w:val="20"/>
                <w:szCs w:val="20"/>
                <w14:ligatures w14:val="none"/>
              </w:rPr>
              <w:fldChar w:fldCharType="begin"/>
            </w:r>
            <w:r w:rsidR="00AE6A6A" w:rsidRPr="009B66A4">
              <w:rPr>
                <w:rFonts w:ascii="Calibri" w:eastAsia="Times New Roman" w:hAnsi="Calibri" w:cs="Calibri"/>
                <w:kern w:val="0"/>
                <w:sz w:val="20"/>
                <w:szCs w:val="20"/>
                <w14:ligatures w14:val="none"/>
              </w:rPr>
              <w:instrText xml:space="preserve"> ADDIN ZOTERO_ITEM CSL_CITATION {"citationID":"hTFzeHKx","properties":{"formattedCitation":"[8]","plainCitation":"[8]","noteIndex":0},"citationItems":[{"id":3371,"uris":["http://zotero.org/users/11896629/items/55DJLR2P"],"itemData":{"id":3371,"type":"article-journal","abstract":"Sleep problems are prevalent among individuals with Rett syndrome. We aimed to investigate sleep problems in individuals with Rett syndrome and their caregivers. A total of 29 participants diagnosed with Rett syndrome and their respective 29 caregivers were included. The Children Sleep Habits Questionnaire (CSHQ), the Pittsburgh Sleep Quality Index (PSQI), the Center for Epidemiologic Studies Depression Scale (CES-D), and the actigraphy data collected from Actiwatch 2 were used to investigate the change of sleep pattern. Based on the CSHQ questionnaire, 75.9% (22/29) of the patients reported sleep disturbances. The younger patients exhibited higher CSHQ scores. Actigraphy data revealed that both young and older patients had short total sleep duration, low sleep efficiency, long sleep-onset latency, long awaking duration, and fragmented sleep. The caregivers reported significantly higher PSQI scores, mildly declined sleep efficiency, and shorter total sleep duration in the actigraphy study. Associations were identified between smaller head circumference and shorter total sleep duration, more severe motor dysfunction and longer wake after sleep onset, worsen scoliosis and more awakenings per night. Sleep efficiency was inversely associated with epilepsy and positively associated with somatic growth. Sleep disturbances are common and should be investigated in individuals with Rett syndrome and their caregivers.\n            \n              Lay abstract\n              Sleep problems are common and impactful among individuals with Rett syndrome (RTT) and their caregivers. We examined the sleep patterns of 29 RTT patients and their primary caregivers using various assessment tools. The study found that a majority of the patients experienced sleep disturbances, with younger patients showing more sleep difficulties. Caregivers also reported poor sleep quality. The findings emphasize the need to address sleep problems in RTT management, as improving sleep quality can positively impact the well-being of individuals with RTT and their caregivers.","container-title":"Autism","DOI":"10.1177/13623613241254620","ISSN":"1362-3613, 1461-7005","issue":"12","journalAbbreviation":"Autism","language":"en","page":"3118-3130","source":"DOI.org (Crossref)","title":"The sleep problems in individuals with Rett syndrome and their caregivers","volume":"28","author":[{"family":"Huang","given":"Cheng-Hsien"},{"family":"Wong","given":"Lee-Chin"},{"family":"Chu","given":"Yen-Ju"},{"family":"Hsu","given":"Chia-Jui"},{"family":"Wang","given":"Hsin-Pei"},{"family":"Tsai","given":"Wen-Che"},{"family":"Lee","given":"Wang-Tso"}],"issued":{"date-parts":[["2024",12]]}}}],"schema":"https://github.com/citation-style-language/schema/raw/master/csl-citation.json"} </w:instrText>
            </w:r>
            <w:r w:rsidR="00E53DE3" w:rsidRPr="009B66A4">
              <w:rPr>
                <w:rFonts w:ascii="Calibri" w:eastAsia="Times New Roman" w:hAnsi="Calibri" w:cs="Calibri"/>
                <w:kern w:val="0"/>
                <w:sz w:val="20"/>
                <w:szCs w:val="20"/>
                <w14:ligatures w14:val="none"/>
              </w:rPr>
              <w:fldChar w:fldCharType="separate"/>
            </w:r>
            <w:r w:rsidR="00AE6A6A" w:rsidRPr="009B66A4">
              <w:rPr>
                <w:rFonts w:ascii="Calibri" w:hAnsi="Calibri" w:cs="Calibri"/>
                <w:sz w:val="20"/>
                <w:szCs w:val="20"/>
              </w:rPr>
              <w:t>[8]</w:t>
            </w:r>
            <w:r w:rsidR="00E53DE3"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1AB69C67"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Taiwan</w:t>
            </w:r>
          </w:p>
        </w:tc>
        <w:tc>
          <w:tcPr>
            <w:tcW w:w="1316" w:type="dxa"/>
            <w:noWrap/>
            <w:vAlign w:val="center"/>
            <w:hideMark/>
          </w:tcPr>
          <w:p w14:paraId="6A9ADC1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51F9E21A"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A63DC6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40C51C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7A96B99"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29</w:t>
            </w:r>
          </w:p>
        </w:tc>
        <w:tc>
          <w:tcPr>
            <w:tcW w:w="1682" w:type="dxa"/>
            <w:vAlign w:val="center"/>
            <w:hideMark/>
          </w:tcPr>
          <w:p w14:paraId="4991AA8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13.7 (10.2)</w:t>
            </w:r>
          </w:p>
        </w:tc>
        <w:tc>
          <w:tcPr>
            <w:tcW w:w="1394" w:type="dxa"/>
            <w:vAlign w:val="center"/>
            <w:hideMark/>
          </w:tcPr>
          <w:p w14:paraId="744867C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 (3.4%)</w:t>
            </w:r>
          </w:p>
        </w:tc>
        <w:tc>
          <w:tcPr>
            <w:tcW w:w="1394" w:type="dxa"/>
            <w:vAlign w:val="center"/>
            <w:hideMark/>
          </w:tcPr>
          <w:p w14:paraId="18C2B3A9"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 (96.6%)</w:t>
            </w:r>
          </w:p>
        </w:tc>
        <w:tc>
          <w:tcPr>
            <w:tcW w:w="1394" w:type="dxa"/>
            <w:vAlign w:val="center"/>
            <w:hideMark/>
          </w:tcPr>
          <w:p w14:paraId="007316DE"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5A40E62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mean (SD): 19.7 (7.7)</w:t>
            </w:r>
          </w:p>
        </w:tc>
      </w:tr>
      <w:tr w:rsidR="00713B5E" w:rsidRPr="009B66A4" w14:paraId="3280B4F6" w14:textId="77777777" w:rsidTr="00A3759F">
        <w:trPr>
          <w:trHeight w:val="20"/>
        </w:trPr>
        <w:tc>
          <w:tcPr>
            <w:tcW w:w="1444" w:type="dxa"/>
            <w:noWrap/>
            <w:vAlign w:val="center"/>
            <w:hideMark/>
          </w:tcPr>
          <w:p w14:paraId="29D55CC1" w14:textId="79DB607B"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Galán</w:t>
            </w:r>
            <w:r w:rsidRPr="009B66A4">
              <w:rPr>
                <w:rFonts w:ascii="Calibri" w:eastAsia="Times New Roman" w:hAnsi="Calibri" w:cs="Calibri"/>
                <w:kern w:val="0"/>
                <w:sz w:val="20"/>
                <w:szCs w:val="20"/>
                <w14:ligatures w14:val="none"/>
              </w:rPr>
              <w:noBreakHyphen/>
              <w:t xml:space="preserve">Olleros, 2024 </w:t>
            </w:r>
            <w:r w:rsidR="002C21A8" w:rsidRPr="009B66A4">
              <w:rPr>
                <w:rFonts w:ascii="Calibri" w:eastAsia="Times New Roman" w:hAnsi="Calibri" w:cs="Calibri"/>
                <w:kern w:val="0"/>
                <w:sz w:val="20"/>
                <w:szCs w:val="20"/>
                <w14:ligatures w14:val="none"/>
              </w:rPr>
              <w:fldChar w:fldCharType="begin"/>
            </w:r>
            <w:r w:rsidR="008B68CC" w:rsidRPr="009B66A4">
              <w:rPr>
                <w:rFonts w:ascii="Calibri" w:eastAsia="Times New Roman" w:hAnsi="Calibri" w:cs="Calibri"/>
                <w:kern w:val="0"/>
                <w:sz w:val="20"/>
                <w:szCs w:val="20"/>
                <w14:ligatures w14:val="none"/>
              </w:rPr>
              <w:instrText xml:space="preserve"> ADDIN ZOTERO_ITEM CSL_CITATION {"citationID":"RgN1VADJ","properties":{"formattedCitation":"[9]","plainCitation":"[9]","noteIndex":0},"citationItems":[{"id":3372,"uris":["http://zotero.org/users/11896629/items/8Y5VLLSL"],"itemData":{"id":3372,"type":"article-journal","container-title":"Journal of Autism and Developmental Disorders","DOI":"10.1007/s10803-024-06399-y","ISSN":"0162-3257, 1573-3432","issue":"8","journalAbbreviation":"J Autism Dev Disord","language":"en","page":"2873-2883","source":"DOI.org (Crossref)","title":"Orthopedic Conditions and Interplay with Functional Abilities and MECP2 Variant Subtype in Rett Syndrome Patients","volume":"55","author":[{"family":"Galán-Olleros","given":"María"},{"family":"González-Alguacil","given":"Elena"},{"family":"Soto-Insuga","given":"Víctor"},{"family":"Vara-Arias","given":"María Teresa"},{"family":"Ortiz-Cabrera","given":"Nelmar Valentina"},{"family":"Serrano","given":"J. Ignacio"},{"family":"Egea-Gámez","given":"Rosa M."},{"family":"García-Peñas","given":"Juan José"},{"family":"Martínez-Caballero","given":"Ignacio"},{"literal":"RTT-HNJ, Rett Syndrome Multidisciplinary Group of Hospital Infantil Universitario Niño Jesús"},{"family":"Esteras","given":"Salvadora Aleza"},{"family":"Nurse","given":"Liaison"},{"family":"De Gatta","given":"Carlota Aparicio Fernández"},{"family":"Villarroya","given":"Elvira Cañedo"},{"family":"Garulo","given":"Daniel Clemente"},{"family":"Roca","given":"Rocío Falcón"},{"family":"Priego","given":"Silvia Gutiérrez"},{"family":"Monedero","given":"Blanca López"},{"family":"Gutiérrez","given":"Paula Moreno"},{"family":"Mangas","given":"Miriam Martín"},{"family":"Andujar","given":"Francisca Romero"},{"family":"Martel","given":"Amalia Tamariz"}],"issued":{"date-parts":[["2025",8]]}}}],"schema":"https://github.com/citation-style-language/schema/raw/master/csl-citation.json"} </w:instrText>
            </w:r>
            <w:r w:rsidR="002C21A8" w:rsidRPr="009B66A4">
              <w:rPr>
                <w:rFonts w:ascii="Calibri" w:eastAsia="Times New Roman" w:hAnsi="Calibri" w:cs="Calibri"/>
                <w:kern w:val="0"/>
                <w:sz w:val="20"/>
                <w:szCs w:val="20"/>
                <w14:ligatures w14:val="none"/>
              </w:rPr>
              <w:fldChar w:fldCharType="separate"/>
            </w:r>
            <w:r w:rsidR="008B68CC" w:rsidRPr="009B66A4">
              <w:rPr>
                <w:rFonts w:ascii="Calibri" w:hAnsi="Calibri" w:cs="Calibri"/>
                <w:sz w:val="20"/>
                <w:szCs w:val="20"/>
              </w:rPr>
              <w:t>[9]</w:t>
            </w:r>
            <w:r w:rsidR="002C21A8"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9541B3F"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Spain</w:t>
            </w:r>
          </w:p>
        </w:tc>
        <w:tc>
          <w:tcPr>
            <w:tcW w:w="1316" w:type="dxa"/>
            <w:noWrap/>
            <w:vAlign w:val="center"/>
            <w:hideMark/>
          </w:tcPr>
          <w:p w14:paraId="2AA6368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458594A8"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0A4C7C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C91C3F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F18837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55</w:t>
            </w:r>
          </w:p>
        </w:tc>
        <w:tc>
          <w:tcPr>
            <w:tcW w:w="1682" w:type="dxa"/>
            <w:vAlign w:val="center"/>
            <w:hideMark/>
          </w:tcPr>
          <w:p w14:paraId="2A7791A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10.22 (4.64)</w:t>
            </w:r>
          </w:p>
        </w:tc>
        <w:tc>
          <w:tcPr>
            <w:tcW w:w="1394" w:type="dxa"/>
            <w:noWrap/>
            <w:vAlign w:val="center"/>
            <w:hideMark/>
          </w:tcPr>
          <w:p w14:paraId="481B29A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5518D24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55 (100%)</w:t>
            </w:r>
          </w:p>
        </w:tc>
        <w:tc>
          <w:tcPr>
            <w:tcW w:w="1394" w:type="dxa"/>
            <w:vAlign w:val="center"/>
            <w:hideMark/>
          </w:tcPr>
          <w:p w14:paraId="344841B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55 (100%)</w:t>
            </w:r>
          </w:p>
        </w:tc>
        <w:tc>
          <w:tcPr>
            <w:tcW w:w="1438" w:type="dxa"/>
            <w:vAlign w:val="center"/>
            <w:hideMark/>
          </w:tcPr>
          <w:p w14:paraId="530CF0DA"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7726B6B" w14:textId="77777777" w:rsidTr="00A3759F">
        <w:trPr>
          <w:trHeight w:val="20"/>
        </w:trPr>
        <w:tc>
          <w:tcPr>
            <w:tcW w:w="1444" w:type="dxa"/>
            <w:noWrap/>
            <w:vAlign w:val="center"/>
            <w:hideMark/>
          </w:tcPr>
          <w:p w14:paraId="0EAB0C13" w14:textId="03E09A09"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Sideris, 2024</w:t>
            </w:r>
            <w:r w:rsidR="008B68CC" w:rsidRPr="009B66A4">
              <w:rPr>
                <w:rFonts w:ascii="Calibri" w:eastAsia="Times New Roman" w:hAnsi="Calibri" w:cs="Calibri"/>
                <w:kern w:val="0"/>
                <w:sz w:val="20"/>
                <w:szCs w:val="20"/>
                <w14:ligatures w14:val="none"/>
              </w:rPr>
              <w:fldChar w:fldCharType="begin"/>
            </w:r>
            <w:r w:rsidR="00BC36ED" w:rsidRPr="009B66A4">
              <w:rPr>
                <w:rFonts w:ascii="Calibri" w:eastAsia="Times New Roman" w:hAnsi="Calibri" w:cs="Calibri"/>
                <w:kern w:val="0"/>
                <w:sz w:val="20"/>
                <w:szCs w:val="20"/>
                <w14:ligatures w14:val="none"/>
              </w:rPr>
              <w:instrText xml:space="preserve"> ADDIN ZOTERO_ITEM CSL_CITATION {"citationID":"Z83ZJTSj","properties":{"formattedCitation":"[10]","plainCitation":"[10]","noteIndex":0},"citationItems":[{"id":3373,"uris":["http://zotero.org/users/11896629/items/G2NEH7PI"],"itemData":{"id":3373,"type":"article-journal","abstract":"Feeding abnormalities, swallowing dysfunction, and gastrointestinal issues cause poor weight gain, oral motor dysfunction, and air swallowing in children with Rett syndrome (RTT). Pneumonia is the leading cause of death. Our study describes fiberoptic endoscopic swallowing findings in 11 female RTT children. Each patient was evaluated using the 8-point Penetration/Aspiration Scale (PAS). The average age was 7 years. All patients had tongue dyskinesis and prolonged oral stage. Eight girls exhibited liquid entering the airway without coughing, whereas 6 did well with pureed meal. Three girls had pneumonia. Age was not correlated with pneumonia episodes (\n              P\n              = .18). Pureed material was related with pneumonia (\n              P\n              = .006), whereas liquids were not. Pureed PAS was positively correlated with Liquid PAS (\n              P\n              = .008) and age (\n              P\n              = .004). All aspiration/penetration incidents occurred before the pharyngeal phase. No patient under 7 years experienced pneumonia episodes. Silent aspiration can occur early in infancy, although pneumonia episodes can occur later.","container-title":"Clinical Pediatrics","DOI":"10.1177/00099228231184673","ISSN":"0009-9228, 1938-2707","issue":"4","journalAbbreviation":"Clin Pediatr (Phila)","language":"en","page":"551-556","source":"DOI.org (Crossref)","title":"Fiberoptic Endoscopic Evaluation of Swallowing Findings in Children With Rett Syndrome","volume":"63","author":[{"family":"Sideris","given":"Giorgos"},{"family":"Panagoulis","given":"Evangelos"},{"family":"Grigoropoulos","given":"Christos"},{"family":"Mermiri","given":"Despina"},{"family":"Nikolopoulos","given":"Thomas"},{"family":"Delides","given":"Alexander"}],"issued":{"date-parts":[["2024",5]]}}}],"schema":"https://github.com/citation-style-language/schema/raw/master/csl-citation.json"} </w:instrText>
            </w:r>
            <w:r w:rsidR="008B68CC" w:rsidRPr="009B66A4">
              <w:rPr>
                <w:rFonts w:ascii="Calibri" w:eastAsia="Times New Roman" w:hAnsi="Calibri" w:cs="Calibri"/>
                <w:kern w:val="0"/>
                <w:sz w:val="20"/>
                <w:szCs w:val="20"/>
                <w14:ligatures w14:val="none"/>
              </w:rPr>
              <w:fldChar w:fldCharType="separate"/>
            </w:r>
            <w:r w:rsidR="00BC36ED" w:rsidRPr="009B66A4">
              <w:rPr>
                <w:rFonts w:ascii="Calibri" w:hAnsi="Calibri" w:cs="Calibri"/>
                <w:sz w:val="20"/>
                <w:szCs w:val="20"/>
              </w:rPr>
              <w:t>[10]</w:t>
            </w:r>
            <w:r w:rsidR="008B68CC"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52FAEC0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Greece</w:t>
            </w:r>
          </w:p>
        </w:tc>
        <w:tc>
          <w:tcPr>
            <w:tcW w:w="1316" w:type="dxa"/>
            <w:noWrap/>
            <w:vAlign w:val="center"/>
            <w:hideMark/>
          </w:tcPr>
          <w:p w14:paraId="7F3E7C9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B3DE2AE"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02DE79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C1A05B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D59F50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w:t>
            </w:r>
          </w:p>
        </w:tc>
        <w:tc>
          <w:tcPr>
            <w:tcW w:w="1682" w:type="dxa"/>
            <w:vAlign w:val="center"/>
            <w:hideMark/>
          </w:tcPr>
          <w:p w14:paraId="3F18F1C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7 years</w:t>
            </w:r>
          </w:p>
        </w:tc>
        <w:tc>
          <w:tcPr>
            <w:tcW w:w="1394" w:type="dxa"/>
            <w:vAlign w:val="center"/>
            <w:hideMark/>
          </w:tcPr>
          <w:p w14:paraId="3AFFD434"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037CAD3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610E57D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7E4CE82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936DB50" w14:textId="77777777" w:rsidTr="00A3759F">
        <w:trPr>
          <w:trHeight w:val="20"/>
        </w:trPr>
        <w:tc>
          <w:tcPr>
            <w:tcW w:w="1444" w:type="dxa"/>
            <w:noWrap/>
            <w:vAlign w:val="center"/>
            <w:hideMark/>
          </w:tcPr>
          <w:p w14:paraId="2B8FC682" w14:textId="41E66E74"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Wong, 2024</w:t>
            </w:r>
            <w:r w:rsidR="00E92050" w:rsidRPr="009B66A4">
              <w:rPr>
                <w:rFonts w:ascii="Calibri" w:eastAsia="Times New Roman" w:hAnsi="Calibri" w:cs="Calibri"/>
                <w:kern w:val="0"/>
                <w:sz w:val="20"/>
                <w:szCs w:val="20"/>
                <w14:ligatures w14:val="none"/>
              </w:rPr>
              <w:fldChar w:fldCharType="begin"/>
            </w:r>
            <w:r w:rsidR="00835583" w:rsidRPr="009B66A4">
              <w:rPr>
                <w:rFonts w:ascii="Calibri" w:eastAsia="Times New Roman" w:hAnsi="Calibri" w:cs="Calibri"/>
                <w:kern w:val="0"/>
                <w:sz w:val="20"/>
                <w:szCs w:val="20"/>
                <w14:ligatures w14:val="none"/>
              </w:rPr>
              <w:instrText xml:space="preserve"> ADDIN ZOTERO_ITEM CSL_CITATION {"citationID":"FIM9IwHZ","properties":{"formattedCitation":"[11]","plainCitation":"[11]","noteIndex":0},"citationItems":[{"id":3374,"uris":["http://zotero.org/users/11896629/items/27KN89N5"],"itemData":{"id":3374,"type":"article-journal","abstract":"This pilot study investigates the feasibility and assesses the impact of Lactobacillus plantarum PS128 probiotics on the neurological function in Rett syndrome. We conducted a randomized, double-blind, and placebo-controlled trial on Rett syndrome with MECP2 mutation aged between 1 and 50 years in Taiwan. In this pilot study, twice-daily L. plantarum PS128 or placebo was administered for 16 weeks. In addition to feasibility, we also assessed the changes utilizing the Mullen Scales of Early Learning. In total, 36 participants were finally randomized into L. plantarum PS128 (n = 18) or placebo (n = 18) groups. At the end of intervention, the retention rates were 100% for L. plantarum PS128 and 94.44% for placebo, with withdrawal rates of 5.56% for the placebo group. Both groups tolerated well, except for one L. plantarum PS128 participant who reported loose stool. The probiotic group showed a change of 2.19 ± 3.76, while the placebo group had −0.85 ± 5.09 (p = 0.051) in the total age-equivalent scores of Mullen Scales of Early Learning. There was a significant difference in the change of the total score on the Burke–Fahn–Marsden Movement Scale between probiotc group and placebo group (−12.19 ± 12.12 vs −4.59 ± 4.20, p = 0.020). In leg dystonia, the probiotic group exhibited a change of −4.11 ± 5.11 compared with −0.38 ± 1.50 in the placebo group (p = 0.008). Our findings affirm the feasibility of L. plantarum PS128 in Rett syndrome. Future clinical trials are mandatory to further explore its long-term impact on Rett syndrome.\n            \n              Lay abstract\n              Rett syndrome often involves gastrointestinal symptoms and gut microbiota imbalances. We conducted a study to explore the feasibility of probiotic Lactobacillus plantarum PS128 and the impact on neurological functions in Rett syndrome. The results of our investigation demonstrated that the supplementation of probiotic L. plantarum PS128 was feasible and well tolerated, with 100% retention rate and 0% withdrawal rate. In addition, there was only one participant who had loose stool after taking L. plantarum PS128. Further, there was a tendency to enhance overall cognitive developmental level, as assessed using Mullen Scales of Early Learning. In addition, it significantly improved dystonia, as assessed using the Burke–Fahn–Marsden Movement Scale, in comparison with the placebo group. This study provides a strong foundation for future research and clinical trials exploring the potential of L. plantarum PS128 probiotics as a complementary therapy for individuals with Rett syndrome.","container-title":"Autism","DOI":"10.1177/13623613231225899","ISSN":"1362-3613, 1461-7005","issue":"9","journalAbbreviation":"Autism","language":"en","page":"2267-2281","source":"DOI.org (Crossref)","title":"Investigating the impact of probiotic on neurological outcomes in Rett syndrome: A randomized, double-blind, and placebo-controlled pilot study","title-short":"Investigating the impact of probiotic on neurological outcomes in Rett syndrome","volume":"28","author":[{"family":"Wong","given":"Lee Chin"},{"family":"Hsu","given":"Chia-Jui"},{"family":"Wu","given":"Yen-Tzu"},{"family":"Chu","given":"Hsu-Feng"},{"family":"Lin","given":"Jui-Hsiang"},{"family":"Wang","given":"Hsin-Pei"},{"family":"Hu","given":"Su-Ching"},{"family":"Tsai","given":"Ying-Chieh"},{"family":"Tsai","given":"Wen-Che"},{"family":"Lee","given":"Wang-Tso"}],"issued":{"date-parts":[["2024",9]]}}}],"schema":"https://github.com/citation-style-language/schema/raw/master/csl-citation.json"} </w:instrText>
            </w:r>
            <w:r w:rsidR="00E92050" w:rsidRPr="009B66A4">
              <w:rPr>
                <w:rFonts w:ascii="Calibri" w:eastAsia="Times New Roman" w:hAnsi="Calibri" w:cs="Calibri"/>
                <w:kern w:val="0"/>
                <w:sz w:val="20"/>
                <w:szCs w:val="20"/>
                <w14:ligatures w14:val="none"/>
              </w:rPr>
              <w:fldChar w:fldCharType="separate"/>
            </w:r>
            <w:r w:rsidR="00835583" w:rsidRPr="009B66A4">
              <w:rPr>
                <w:rFonts w:ascii="Calibri" w:hAnsi="Calibri" w:cs="Calibri"/>
                <w:sz w:val="20"/>
                <w:szCs w:val="20"/>
              </w:rPr>
              <w:t>[11]</w:t>
            </w:r>
            <w:r w:rsidR="00E92050"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45BF2C8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Taiwan</w:t>
            </w:r>
          </w:p>
        </w:tc>
        <w:tc>
          <w:tcPr>
            <w:tcW w:w="1316" w:type="dxa"/>
            <w:noWrap/>
            <w:vAlign w:val="center"/>
            <w:hideMark/>
          </w:tcPr>
          <w:p w14:paraId="521B7BC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03684123"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19785E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CF8AC8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AFEDCE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35</w:t>
            </w:r>
          </w:p>
        </w:tc>
        <w:tc>
          <w:tcPr>
            <w:tcW w:w="1682" w:type="dxa"/>
            <w:vAlign w:val="center"/>
            <w:hideMark/>
          </w:tcPr>
          <w:p w14:paraId="0E6D766B"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18649AF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669918F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1A5FC0E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35 (100%)</w:t>
            </w:r>
          </w:p>
        </w:tc>
        <w:tc>
          <w:tcPr>
            <w:tcW w:w="1438" w:type="dxa"/>
            <w:vAlign w:val="center"/>
            <w:hideMark/>
          </w:tcPr>
          <w:p w14:paraId="667748F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B8D990C" w14:textId="77777777" w:rsidTr="00A3759F">
        <w:trPr>
          <w:trHeight w:val="20"/>
        </w:trPr>
        <w:tc>
          <w:tcPr>
            <w:tcW w:w="1444" w:type="dxa"/>
            <w:noWrap/>
            <w:vAlign w:val="center"/>
            <w:hideMark/>
          </w:tcPr>
          <w:p w14:paraId="18884CA7" w14:textId="1DECD413"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 xml:space="preserve">Yildiz, 2024 </w:t>
            </w:r>
            <w:r w:rsidR="009948F7" w:rsidRPr="009B66A4">
              <w:rPr>
                <w:rFonts w:ascii="Calibri" w:eastAsia="Times New Roman" w:hAnsi="Calibri" w:cs="Calibri"/>
                <w:kern w:val="0"/>
                <w:sz w:val="20"/>
                <w:szCs w:val="20"/>
                <w14:ligatures w14:val="none"/>
              </w:rPr>
              <w:fldChar w:fldCharType="begin"/>
            </w:r>
            <w:r w:rsidR="009948F7" w:rsidRPr="009B66A4">
              <w:rPr>
                <w:rFonts w:ascii="Calibri" w:eastAsia="Times New Roman" w:hAnsi="Calibri" w:cs="Calibri"/>
                <w:kern w:val="0"/>
                <w:sz w:val="20"/>
                <w:szCs w:val="20"/>
                <w14:ligatures w14:val="none"/>
              </w:rPr>
              <w:instrText xml:space="preserve"> ADDIN ZOTERO_ITEM CSL_CITATION {"citationID":"kflLXdbr","properties":{"formattedCitation":"[12]","plainCitation":"[12]","noteIndex":0},"citationItems":[{"id":3375,"uris":["http://zotero.org/users/11896629/items/C932VBPW"],"itemData":{"id":3375,"type":"article-journal","container-title":"Epilepsy Research","DOI":"10.1016/j.eplepsyres.2024.107399","ISSN":"09201211","journalAbbreviation":"Epilepsy Research","language":"en","page":"107399","source":"DOI.org (Crossref)","title":"Evaluation of seizure semiology, genetics, magnetic resonance imaging, and electroencephalogram findings in children with Rett syndrome: A multicenter retrospective study","title-short":"Evaluation of seizure semiology, genetics, magnetic resonance imaging, and electroencephalogram findings in children with Rett syndrome","volume":"205","author":[{"family":"Yıldız","given":"Nihal"},{"family":"Serdaroğlu","given":"Esra"},{"family":"Kart","given":"Pınar Özkan"},{"family":"Besen","given":"Seyda"},{"family":"Kanmaz","given":"Seda"},{"family":"Toprak","given":"Dilara Ece"},{"family":"Kilic","given":"Betul"},{"family":"Ersoy","given":"Ozlem"},{"family":"Gencpinar","given":"Pınar"},{"family":"Dundar","given":"Nihal Olgac"},{"family":"Okuyaz","given":"Cetin"},{"family":"Serdaroglu","given":"Ayse"},{"family":"Carman","given":"Kursat Bora"},{"family":"Yarar","given":"Coşkun"},{"family":"Ekici","given":"Barış"},{"family":"Tatlı","given":"Burak"},{"family":"Erol","given":"İlknur"},{"family":"Aydın","given":"Kürşad"},{"family":"Tekgül","given":"Hasan"},{"family":"Cansu","given":"Ali"}],"issued":{"date-parts":[["2024",9]]}}}],"schema":"https://github.com/citation-style-language/schema/raw/master/csl-citation.json"} </w:instrText>
            </w:r>
            <w:r w:rsidR="009948F7" w:rsidRPr="009B66A4">
              <w:rPr>
                <w:rFonts w:ascii="Calibri" w:eastAsia="Times New Roman" w:hAnsi="Calibri" w:cs="Calibri"/>
                <w:kern w:val="0"/>
                <w:sz w:val="20"/>
                <w:szCs w:val="20"/>
                <w14:ligatures w14:val="none"/>
              </w:rPr>
              <w:fldChar w:fldCharType="separate"/>
            </w:r>
            <w:r w:rsidR="009948F7" w:rsidRPr="009B66A4">
              <w:rPr>
                <w:rFonts w:ascii="Calibri" w:hAnsi="Calibri" w:cs="Calibri"/>
                <w:sz w:val="20"/>
                <w:szCs w:val="20"/>
              </w:rPr>
              <w:t>[12]</w:t>
            </w:r>
            <w:r w:rsidR="009948F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FF16C2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Turkey</w:t>
            </w:r>
          </w:p>
        </w:tc>
        <w:tc>
          <w:tcPr>
            <w:tcW w:w="1316" w:type="dxa"/>
            <w:noWrap/>
            <w:vAlign w:val="center"/>
            <w:hideMark/>
          </w:tcPr>
          <w:p w14:paraId="2BCFB518"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5A631CC7"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753EDF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9DBDC6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2A2B7C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120</w:t>
            </w:r>
          </w:p>
        </w:tc>
        <w:tc>
          <w:tcPr>
            <w:tcW w:w="1682" w:type="dxa"/>
            <w:vAlign w:val="center"/>
            <w:hideMark/>
          </w:tcPr>
          <w:p w14:paraId="17702F4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36.56 (Range: 0 – 192) months</w:t>
            </w:r>
          </w:p>
        </w:tc>
        <w:tc>
          <w:tcPr>
            <w:tcW w:w="1394" w:type="dxa"/>
            <w:noWrap/>
            <w:vAlign w:val="center"/>
            <w:hideMark/>
          </w:tcPr>
          <w:p w14:paraId="45D240D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 (6.67%)</w:t>
            </w:r>
          </w:p>
        </w:tc>
        <w:tc>
          <w:tcPr>
            <w:tcW w:w="1394" w:type="dxa"/>
            <w:noWrap/>
            <w:vAlign w:val="center"/>
            <w:hideMark/>
          </w:tcPr>
          <w:p w14:paraId="2E0E124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112 (93.3%)</w:t>
            </w:r>
          </w:p>
        </w:tc>
        <w:tc>
          <w:tcPr>
            <w:tcW w:w="1394" w:type="dxa"/>
            <w:noWrap/>
            <w:vAlign w:val="center"/>
            <w:hideMark/>
          </w:tcPr>
          <w:p w14:paraId="6CDF3083"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111 (92.5%)</w:t>
            </w:r>
          </w:p>
        </w:tc>
        <w:tc>
          <w:tcPr>
            <w:tcW w:w="1438" w:type="dxa"/>
            <w:noWrap/>
            <w:vAlign w:val="center"/>
            <w:hideMark/>
          </w:tcPr>
          <w:p w14:paraId="4954F6D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E0D2581" w14:textId="77777777" w:rsidTr="00A3759F">
        <w:trPr>
          <w:trHeight w:val="20"/>
        </w:trPr>
        <w:tc>
          <w:tcPr>
            <w:tcW w:w="1444" w:type="dxa"/>
            <w:noWrap/>
            <w:vAlign w:val="center"/>
            <w:hideMark/>
          </w:tcPr>
          <w:p w14:paraId="62355B7E" w14:textId="007A290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Vilvarajan, 2023</w:t>
            </w:r>
            <w:r w:rsidR="00C83097" w:rsidRPr="009B66A4">
              <w:rPr>
                <w:rFonts w:ascii="Calibri" w:eastAsia="Times New Roman" w:hAnsi="Calibri" w:cs="Calibri"/>
                <w:kern w:val="0"/>
                <w:sz w:val="20"/>
                <w:szCs w:val="20"/>
                <w14:ligatures w14:val="none"/>
              </w:rPr>
              <w:fldChar w:fldCharType="begin"/>
            </w:r>
            <w:r w:rsidR="00C83097" w:rsidRPr="009B66A4">
              <w:rPr>
                <w:rFonts w:ascii="Calibri" w:eastAsia="Times New Roman" w:hAnsi="Calibri" w:cs="Calibri"/>
                <w:kern w:val="0"/>
                <w:sz w:val="20"/>
                <w:szCs w:val="20"/>
                <w14:ligatures w14:val="none"/>
              </w:rPr>
              <w:instrText xml:space="preserve"> ADDIN ZOTERO_ITEM CSL_CITATION {"citationID":"Oa7Td2Gd","properties":{"formattedCitation":"[13]","plainCitation":"[13]","noteIndex":0},"citationItems":[{"id":2859,"uris":["http://zotero.org/users/11896629/items/JJF5L76A"],"itemData":{"id":2859,"type":"article-journal","abstract":"Over the last 20 years, the understanding and natural history of Rett syndrome has advanced, but to date no cure has emerged, with multidisciplinary management being symptomatic and supportive. This study provides a comprehensive review of the clinical features, comorbidities and multidisciplinary management of a well-characterized cohort of females with classical Rett syndrome. We aim to improve awareness and understanding of Rett syndrome amongst pediatricians, pediatric subspecialists and allied health professionals to enable early diagnosis and a streamlined enrolment approach for future clinical trials. Rett syndrome, a complex X-linked condition, affecting mainly females, is due to pathogenic variants of the MECP2 gene in most affected individuals. The Rett syndrome Multidisciplinary Management clinic at The Children’s Hospital at Westmead, Sydney, Australia, was established in 2000. This retrospective analysis of individuals who attended the clinic from 2000 to 2020 was performed to identify the incidence and predicted age of onset of Rett syndrome related comorbidities, disease progression and to review management principles. Data collected included age of Rett syndrome diagnosis, MECP2 genotype, clinical features and medical comorbidities, such as sleep disturbance, seizures, breathing irregularities, scoliosis, mobility, hand stereotypies, hand function, constipation, feeding ability, use of gastrostomy, communication skills, QTc prolongation, anthropometry, and bruxism. Analysis of 103 girls who fulfilled the clinical diagnostic criteria for classical Rett syndrome with a pathogenic variant of the MECP2 gene showed a median age of diagnosis of 3 years. The most frequent MECP2 variant was c.502 C&gt;T.","container-title":"Genes","DOI":"10.3390/genes14081607","ISSN":"2073-4425","issue":"8","journalAbbreviation":"Genes","language":"en","license":"https://creativecommons.org/licenses/by/4.0/","page":"1607","source":"DOI.org (Crossref)","title":"Multidisciplinary Management of Rett Syndrome: Twenty Years’ Experience","title-short":"Multidisciplinary Management of Rett Syndrome","volume":"14","author":[{"family":"Vilvarajan","given":"Sandra"},{"family":"McDonald","given":"Madeleine"},{"family":"Douglas","given":"Lyndal"},{"family":"Newham","given":"Jessica"},{"family":"Kirkland","given":"Robyn"},{"family":"Tzannes","given":"Gloria"},{"family":"Tay","given":"Diane"},{"family":"Christodoulou","given":"John"},{"family":"Thompson","given":"Susan"},{"family":"Ellaway","given":"Carolyn"}],"issued":{"date-parts":[["2023",8,11]]}}}],"schema":"https://github.com/citation-style-language/schema/raw/master/csl-citation.json"} </w:instrText>
            </w:r>
            <w:r w:rsidR="00C83097" w:rsidRPr="009B66A4">
              <w:rPr>
                <w:rFonts w:ascii="Calibri" w:eastAsia="Times New Roman" w:hAnsi="Calibri" w:cs="Calibri"/>
                <w:kern w:val="0"/>
                <w:sz w:val="20"/>
                <w:szCs w:val="20"/>
                <w14:ligatures w14:val="none"/>
              </w:rPr>
              <w:fldChar w:fldCharType="separate"/>
            </w:r>
            <w:r w:rsidR="00C83097" w:rsidRPr="009B66A4">
              <w:rPr>
                <w:rFonts w:ascii="Calibri" w:hAnsi="Calibri" w:cs="Calibri"/>
                <w:sz w:val="20"/>
                <w:szCs w:val="20"/>
              </w:rPr>
              <w:t>[13]</w:t>
            </w:r>
            <w:r w:rsidR="00C8309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403CD76"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10EDF5C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13FB42FE" w14:textId="77777777" w:rsidR="002A131B" w:rsidRPr="009B66A4" w:rsidRDefault="002A131B" w:rsidP="002A131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945C06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3F1DBE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208DC2CD"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103</w:t>
            </w:r>
          </w:p>
        </w:tc>
        <w:tc>
          <w:tcPr>
            <w:tcW w:w="1682" w:type="dxa"/>
            <w:noWrap/>
            <w:vAlign w:val="center"/>
            <w:hideMark/>
          </w:tcPr>
          <w:p w14:paraId="7976E772"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199EA5C"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8C0C5A1"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103 (100%)</w:t>
            </w:r>
          </w:p>
        </w:tc>
        <w:tc>
          <w:tcPr>
            <w:tcW w:w="1394" w:type="dxa"/>
            <w:noWrap/>
            <w:vAlign w:val="center"/>
            <w:hideMark/>
          </w:tcPr>
          <w:p w14:paraId="466A9525"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103 (100%)</w:t>
            </w:r>
          </w:p>
        </w:tc>
        <w:tc>
          <w:tcPr>
            <w:tcW w:w="1438" w:type="dxa"/>
            <w:noWrap/>
            <w:vAlign w:val="center"/>
            <w:hideMark/>
          </w:tcPr>
          <w:p w14:paraId="01E87640" w14:textId="77777777" w:rsidR="002A131B" w:rsidRPr="009B66A4" w:rsidRDefault="002A131B" w:rsidP="002A131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64E9BCE" w14:textId="77777777" w:rsidTr="00A3759F">
        <w:trPr>
          <w:trHeight w:val="20"/>
        </w:trPr>
        <w:tc>
          <w:tcPr>
            <w:tcW w:w="1444" w:type="dxa"/>
            <w:noWrap/>
            <w:vAlign w:val="center"/>
            <w:hideMark/>
          </w:tcPr>
          <w:p w14:paraId="5EF874C0" w14:textId="7589DC6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Hirano, 2023 </w:t>
            </w:r>
            <w:r w:rsidR="00C83097" w:rsidRPr="009B66A4">
              <w:rPr>
                <w:rFonts w:ascii="Calibri" w:eastAsia="Times New Roman" w:hAnsi="Calibri" w:cs="Calibri"/>
                <w:kern w:val="0"/>
                <w:sz w:val="20"/>
                <w:szCs w:val="20"/>
                <w14:ligatures w14:val="none"/>
              </w:rPr>
              <w:fldChar w:fldCharType="begin"/>
            </w:r>
            <w:r w:rsidR="00C83097" w:rsidRPr="009B66A4">
              <w:rPr>
                <w:rFonts w:ascii="Calibri" w:eastAsia="Times New Roman" w:hAnsi="Calibri" w:cs="Calibri"/>
                <w:kern w:val="0"/>
                <w:sz w:val="20"/>
                <w:szCs w:val="20"/>
                <w14:ligatures w14:val="none"/>
              </w:rPr>
              <w:instrText xml:space="preserve"> ADDIN ZOTERO_ITEM CSL_CITATION {"citationID":"xrFRFpxz","properties":{"formattedCitation":"[14]","plainCitation":"[14]","noteIndex":0},"citationItems":[{"id":2925,"uris":["http://zotero.org/users/11896629/items/AYFWRC5Z"],"itemData":{"id":2925,"type":"article-journal","container-title":"Early Human Development","DOI":"10.1016/j.earlhumdev.2023.105821","ISSN":"03783782","journalAbbreviation":"Early Human Development","language":"en","page":"105821","source":"DOI.org (Crossref)","title":"Relationship between hand stereotypies and purposeful hand use and factors causing skin injuries and joint contractures in individuals with Rett syndrome","volume":"183","author":[{"family":"Hirano","given":"Daisuke"},{"family":"Goto","given":"Yoshinobu"},{"family":"Shoji","given":"Hiroaki"},{"family":"Taniguchi","given":"Takamichi"}],"issued":{"date-parts":[["2023",8]]}}}],"schema":"https://github.com/citation-style-language/schema/raw/master/csl-citation.json"} </w:instrText>
            </w:r>
            <w:r w:rsidR="00C83097" w:rsidRPr="009B66A4">
              <w:rPr>
                <w:rFonts w:ascii="Calibri" w:eastAsia="Times New Roman" w:hAnsi="Calibri" w:cs="Calibri"/>
                <w:kern w:val="0"/>
                <w:sz w:val="20"/>
                <w:szCs w:val="20"/>
                <w14:ligatures w14:val="none"/>
              </w:rPr>
              <w:fldChar w:fldCharType="separate"/>
            </w:r>
            <w:r w:rsidR="00C83097" w:rsidRPr="009B66A4">
              <w:rPr>
                <w:rFonts w:ascii="Calibri" w:hAnsi="Calibri" w:cs="Calibri"/>
                <w:sz w:val="20"/>
                <w:szCs w:val="20"/>
              </w:rPr>
              <w:t>[14]</w:t>
            </w:r>
            <w:r w:rsidR="00C8309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CA3DF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Japan</w:t>
            </w:r>
          </w:p>
        </w:tc>
        <w:tc>
          <w:tcPr>
            <w:tcW w:w="1316" w:type="dxa"/>
            <w:noWrap/>
            <w:vAlign w:val="center"/>
            <w:hideMark/>
          </w:tcPr>
          <w:p w14:paraId="35BAD9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5C3DA4F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3EEF0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090048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0099F2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w:t>
            </w:r>
          </w:p>
        </w:tc>
        <w:tc>
          <w:tcPr>
            <w:tcW w:w="1682" w:type="dxa"/>
            <w:noWrap/>
            <w:vAlign w:val="center"/>
            <w:hideMark/>
          </w:tcPr>
          <w:p w14:paraId="3C2C8B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(95% CI): 12 years and 10 months (10 years and 4 months – 15 years and 3 months)</w:t>
            </w:r>
          </w:p>
        </w:tc>
        <w:tc>
          <w:tcPr>
            <w:tcW w:w="1394" w:type="dxa"/>
            <w:noWrap/>
            <w:vAlign w:val="center"/>
            <w:hideMark/>
          </w:tcPr>
          <w:p w14:paraId="13E2BF6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CD62F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 (100%)</w:t>
            </w:r>
          </w:p>
        </w:tc>
        <w:tc>
          <w:tcPr>
            <w:tcW w:w="1394" w:type="dxa"/>
            <w:noWrap/>
            <w:vAlign w:val="center"/>
            <w:hideMark/>
          </w:tcPr>
          <w:p w14:paraId="3FE76F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40 (55.56%)</w:t>
            </w:r>
          </w:p>
        </w:tc>
        <w:tc>
          <w:tcPr>
            <w:tcW w:w="1438" w:type="dxa"/>
            <w:noWrap/>
            <w:vAlign w:val="center"/>
            <w:hideMark/>
          </w:tcPr>
          <w:p w14:paraId="2CA1CD5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E3FFEB8" w14:textId="77777777" w:rsidTr="00A3759F">
        <w:trPr>
          <w:trHeight w:val="20"/>
        </w:trPr>
        <w:tc>
          <w:tcPr>
            <w:tcW w:w="1444" w:type="dxa"/>
            <w:noWrap/>
            <w:vAlign w:val="center"/>
            <w:hideMark/>
          </w:tcPr>
          <w:p w14:paraId="20BBFF96" w14:textId="6D416926"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Downs, 2023 </w:t>
            </w:r>
            <w:r w:rsidR="00C83097" w:rsidRPr="009B66A4">
              <w:rPr>
                <w:rFonts w:ascii="Calibri" w:eastAsia="Times New Roman" w:hAnsi="Calibri" w:cs="Calibri"/>
                <w:kern w:val="0"/>
                <w:sz w:val="20"/>
                <w:szCs w:val="20"/>
                <w14:ligatures w14:val="none"/>
              </w:rPr>
              <w:fldChar w:fldCharType="begin"/>
            </w:r>
            <w:r w:rsidR="002649D0" w:rsidRPr="009B66A4">
              <w:rPr>
                <w:rFonts w:ascii="Calibri" w:eastAsia="Times New Roman" w:hAnsi="Calibri" w:cs="Calibri"/>
                <w:kern w:val="0"/>
                <w:sz w:val="20"/>
                <w:szCs w:val="20"/>
                <w14:ligatures w14:val="none"/>
              </w:rPr>
              <w:instrText xml:space="preserve"> ADDIN ZOTERO_ITEM CSL_CITATION {"citationID":"YI10Q4mP","properties":{"formattedCitation":"[15]","plainCitation":"[15]","noteIndex":0},"citationItems":[{"id":3376,"uris":["http://zotero.org/users/11896629/items/9YUG5DDN"],"itemData":{"id":3376,"type":"article-journal","abstract":"Abstract\n            \n              Aim\n              To evaluate the effects of a physical activity programme on sedentary behaviour and physical activity in ambulant individuals with Rett syndrome (RTT).\n            \n            \n              Method\n              \n                In this multicentre randomized waitlist‐controlled trial, we recruited 43 ambulatory individuals with RTT in Australia and Denmark. Adequate baseline data were obtained from 38 participants (mean age 20 years, range 6–41, SD 10 years 6 months, one male). All completed the trial. Participants received 12 weeks of usual care (\n                n\n                 = 19) or a goal‐based, telehealth‐supported programme in which activities occurred in their familiar environments (\n                n\n                 = 19). Sedentary time and daily steps were assessed at baseline, post‐test, and 12‐week follow‐up. The data analyst was blinded to group allocation.\n              \n            \n            \n              Results\n              Sedentary time decreased in the intervention group by 2.7% (95% confidence interval [CI] −6.0 to 0.6) and increased in the control group by 1.3% (95% CI −4.8 to 7.4). Intervention and control groups increased the number of their steps per day by 264.7 (95% CI −72.2 to 601.5) and 104.8 (95% CI −178.1 to 387.7) respectively. No significant differences were found on any outcomes at post‐test. There were three minor adverse events.\n            \n            \n              Interpretation\n              A goal‐based telehealth intervention seemed to produce small improvements in physical activity for individuals with RTT. Families require more support to increase these individuals' extremely low physical activity levels.\n            \n            \n              What this paper adds\n              \n                \n                  \n                    A telehealth‐supported intervention may produce small changes in physical activity in Rett syndrome (RTT).\n                  \n                  \n                    Increasing physical activity in individuals with RTT is challenging for caregivers.\n                  \n                  \n                    Families require substantial out‐of‐home support to increase their children's activity levels.","container-title":"Developmental Medicine &amp; Child Neurology","DOI":"10.1111/dmcn.15436","ISSN":"0012-1622, 1469-8749","issue":"4","journalAbbreviation":"Develop Med Child Neuro","language":"en","page":"489-497","source":"DOI.org (Crossref)","title":"Can telehealth increase physical activity in individuals with Rett syndrome? A multicentre randomized controlled trial","title-short":"Can telehealth increase physical activity in individuals with Rett syndrome?","volume":"65","author":[{"family":"Downs","given":"Jenny"},{"family":"Blackmore","given":"A. Marie"},{"family":"Wong","given":"Kingsley"},{"family":"Buckley","given":"Nicholas"},{"family":"Lotan","given":"Meir"},{"family":"Elefant","given":"Cochavit"},{"family":"Leonard","given":"Helen"},{"family":"Stahlhut","given":"Michelle"}],"issued":{"date-parts":[["2023",4]]}}}],"schema":"https://github.com/citation-style-language/schema/raw/master/csl-citation.json"} </w:instrText>
            </w:r>
            <w:r w:rsidR="00C83097" w:rsidRPr="009B66A4">
              <w:rPr>
                <w:rFonts w:ascii="Calibri" w:eastAsia="Times New Roman" w:hAnsi="Calibri" w:cs="Calibri"/>
                <w:kern w:val="0"/>
                <w:sz w:val="20"/>
                <w:szCs w:val="20"/>
                <w14:ligatures w14:val="none"/>
              </w:rPr>
              <w:fldChar w:fldCharType="separate"/>
            </w:r>
            <w:r w:rsidR="002649D0" w:rsidRPr="009B66A4">
              <w:rPr>
                <w:rFonts w:ascii="Calibri" w:hAnsi="Calibri" w:cs="Calibri"/>
                <w:sz w:val="20"/>
                <w:szCs w:val="20"/>
              </w:rPr>
              <w:t>[15]</w:t>
            </w:r>
            <w:r w:rsidR="00C8309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748D7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 Denmark, Israel</w:t>
            </w:r>
          </w:p>
        </w:tc>
        <w:tc>
          <w:tcPr>
            <w:tcW w:w="1316" w:type="dxa"/>
            <w:noWrap/>
            <w:vAlign w:val="center"/>
            <w:hideMark/>
          </w:tcPr>
          <w:p w14:paraId="707FA0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6B3DB41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932521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A83E2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08F27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38</w:t>
            </w:r>
          </w:p>
        </w:tc>
        <w:tc>
          <w:tcPr>
            <w:tcW w:w="1682" w:type="dxa"/>
            <w:vAlign w:val="center"/>
            <w:hideMark/>
          </w:tcPr>
          <w:p w14:paraId="5EE4A7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18 years and 10 months (Range: 6 years and 11 months to 41 years and 1 month)</w:t>
            </w:r>
          </w:p>
        </w:tc>
        <w:tc>
          <w:tcPr>
            <w:tcW w:w="1394" w:type="dxa"/>
            <w:noWrap/>
            <w:vAlign w:val="center"/>
            <w:hideMark/>
          </w:tcPr>
          <w:p w14:paraId="0505EE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 (2.6%)</w:t>
            </w:r>
          </w:p>
        </w:tc>
        <w:tc>
          <w:tcPr>
            <w:tcW w:w="1394" w:type="dxa"/>
            <w:noWrap/>
            <w:vAlign w:val="center"/>
            <w:hideMark/>
          </w:tcPr>
          <w:p w14:paraId="4F9260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37 (97.4%)</w:t>
            </w:r>
          </w:p>
        </w:tc>
        <w:tc>
          <w:tcPr>
            <w:tcW w:w="1394" w:type="dxa"/>
            <w:noWrap/>
            <w:vAlign w:val="center"/>
            <w:hideMark/>
          </w:tcPr>
          <w:p w14:paraId="3D805E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00A468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6426FDA" w14:textId="77777777" w:rsidTr="00A3759F">
        <w:trPr>
          <w:trHeight w:val="20"/>
        </w:trPr>
        <w:tc>
          <w:tcPr>
            <w:tcW w:w="1444" w:type="dxa"/>
            <w:vMerge w:val="restart"/>
            <w:noWrap/>
            <w:vAlign w:val="center"/>
            <w:hideMark/>
          </w:tcPr>
          <w:p w14:paraId="381BBDC6" w14:textId="13E502CD"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Neul, 2023</w:t>
            </w:r>
            <w:r w:rsidR="00A67766" w:rsidRPr="009B66A4">
              <w:rPr>
                <w:rFonts w:ascii="Calibri" w:eastAsia="Times New Roman" w:hAnsi="Calibri" w:cs="Calibri"/>
                <w:kern w:val="0"/>
                <w:sz w:val="20"/>
                <w:szCs w:val="20"/>
                <w14:ligatures w14:val="none"/>
              </w:rPr>
              <w:fldChar w:fldCharType="begin"/>
            </w:r>
            <w:r w:rsidR="0083174D" w:rsidRPr="009B66A4">
              <w:rPr>
                <w:rFonts w:ascii="Calibri" w:eastAsia="Times New Roman" w:hAnsi="Calibri" w:cs="Calibri"/>
                <w:kern w:val="0"/>
                <w:sz w:val="20"/>
                <w:szCs w:val="20"/>
                <w14:ligatures w14:val="none"/>
              </w:rPr>
              <w:instrText xml:space="preserve"> ADDIN ZOTERO_ITEM CSL_CITATION {"citationID":"ZRY9mRpE","properties":{"formattedCitation":"[16]","plainCitation":"[16]","noteIndex":0},"citationItems":[{"id":3377,"uris":["http://zotero.org/users/11896629/items/9FJVSWWA"],"itemData":{"id":3377,"type":"article-journal","abstract":"Abstract\n            \n              Rett syndrome is a rare, genetic neurodevelopmental disorder. Trofinetide is a synthetic analog of glycine–proline–glutamate, the N-terminal tripeptide of the insulin-like growth factor 1 protein, and has demonstrated clinical benefit in phase 2 studies in Rett syndrome. In this phase 3 study (\n              https://clinicaltrials.gov\n              identifier\n              NCT04181723\n              ), females with Rett syndrome received twice-daily oral trofinetide (\n              n\n               = 93) or placebo (\n              n\n               = 94) for 12 weeks. For the coprimary efficacy endpoints, least squares mean (LSM) change from baseline to week 12 in the Rett Syndrome Behaviour Questionnaire for trofinetide versus placebo was −4.9 versus −1.7 (\n              P\n               = 0.0175; Cohen’s\n              d\n              effect size, 0.37), and LSM Clinical Global Impression–Improvement at week 12 was 3.5 versus 3.8 (\n              P\n               = 0.0030; effect size, 0.47). For the key secondary efficacy endpoint, LSM change from baseline to week 12 in the Communication and Symbolic Behavior Scales Developmental Profile Infant–Toddler Checklist Social Composite score was −0.1 versus −1.1 (\n              P\n               = 0.0064; effect size, 0.43). Common treatment-emergent adverse events included diarrhea (80.6% for trofinetide versus 19.1% for placebo), which was mostly mild to moderate in severity. Significant improvement for trofinetide compared with placebo was observed for the coprimary efficacy endpoints, suggesting that trofinetide provides benefit in treating the core symptoms of Rett syndrome.","container-title":"Nature Medicine","DOI":"10.1038/s41591-023-02398-1","ISSN":"1078-8956, 1546-170X","issue":"6","journalAbbreviation":"Nat Med","language":"en","page":"1468-1475","source":"DOI.org (Crossref)","title":"Trofinetide for the treatment of Rett syndrome: a randomized phase 3 study","title-short":"Trofinetide for the treatment of Rett syndrome","volume":"29","author":[{"family":"Neul","given":"Jeffrey L."},{"family":"Percy","given":"Alan K."},{"family":"Benke","given":"Timothy A."},{"family":"Berry-Kravis","given":"Elizabeth M."},{"family":"Glaze","given":"Daniel G."},{"family":"Marsh","given":"Eric D."},{"family":"Lin","given":"Tim"},{"family":"Stankovic","given":"Serge"},{"family":"Bishop","given":"Kathie M."},{"family":"Youakim","given":"James M."}],"issued":{"date-parts":[["2023",6]]}}}],"schema":"https://github.com/citation-style-language/schema/raw/master/csl-citation.json"} </w:instrText>
            </w:r>
            <w:r w:rsidR="00A67766" w:rsidRPr="009B66A4">
              <w:rPr>
                <w:rFonts w:ascii="Calibri" w:eastAsia="Times New Roman" w:hAnsi="Calibri" w:cs="Calibri"/>
                <w:kern w:val="0"/>
                <w:sz w:val="20"/>
                <w:szCs w:val="20"/>
                <w14:ligatures w14:val="none"/>
              </w:rPr>
              <w:fldChar w:fldCharType="separate"/>
            </w:r>
            <w:r w:rsidR="0083174D" w:rsidRPr="009B66A4">
              <w:rPr>
                <w:rFonts w:ascii="Calibri" w:hAnsi="Calibri" w:cs="Calibri"/>
                <w:sz w:val="20"/>
                <w:szCs w:val="20"/>
              </w:rPr>
              <w:t>[16]</w:t>
            </w:r>
            <w:r w:rsidR="00A67766"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vMerge w:val="restart"/>
            <w:noWrap/>
            <w:vAlign w:val="center"/>
            <w:hideMark/>
          </w:tcPr>
          <w:p w14:paraId="1B4C2D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547D0F4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vMerge w:val="restart"/>
            <w:noWrap/>
            <w:hideMark/>
          </w:tcPr>
          <w:p w14:paraId="5CC1184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76CE0A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596A4A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vMerge w:val="restart"/>
            <w:noWrap/>
            <w:vAlign w:val="center"/>
            <w:hideMark/>
          </w:tcPr>
          <w:p w14:paraId="5DBDBEF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187</w:t>
            </w:r>
          </w:p>
        </w:tc>
        <w:tc>
          <w:tcPr>
            <w:tcW w:w="1682" w:type="dxa"/>
            <w:vMerge w:val="restart"/>
            <w:noWrap/>
            <w:vAlign w:val="center"/>
            <w:hideMark/>
          </w:tcPr>
          <w:p w14:paraId="535386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10.9 (4.62)</w:t>
            </w:r>
          </w:p>
        </w:tc>
        <w:tc>
          <w:tcPr>
            <w:tcW w:w="1394" w:type="dxa"/>
            <w:vMerge w:val="restart"/>
            <w:noWrap/>
            <w:vAlign w:val="center"/>
            <w:hideMark/>
          </w:tcPr>
          <w:p w14:paraId="466A69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7B6559C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162 (100%)</w:t>
            </w:r>
          </w:p>
        </w:tc>
        <w:tc>
          <w:tcPr>
            <w:tcW w:w="1394" w:type="dxa"/>
            <w:vMerge w:val="restart"/>
            <w:vAlign w:val="center"/>
            <w:hideMark/>
          </w:tcPr>
          <w:p w14:paraId="7A3132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4C702B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RSBQ score, mean(SD) : 44.1 (11.76)</w:t>
            </w:r>
          </w:p>
        </w:tc>
      </w:tr>
      <w:tr w:rsidR="00713B5E" w:rsidRPr="009B66A4" w14:paraId="73868EA2" w14:textId="77777777" w:rsidTr="00A3759F">
        <w:trPr>
          <w:trHeight w:val="20"/>
        </w:trPr>
        <w:tc>
          <w:tcPr>
            <w:tcW w:w="1444" w:type="dxa"/>
            <w:vMerge/>
            <w:vAlign w:val="center"/>
            <w:hideMark/>
          </w:tcPr>
          <w:p w14:paraId="3DC9AC3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CE00E9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A9CD6E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2DED352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01D263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94EAD1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A5256C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23D7938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043018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59E51F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5BB33D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59C19B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CGI-S, mean(SD) : 4.9 (0.76)</w:t>
            </w:r>
          </w:p>
        </w:tc>
      </w:tr>
      <w:tr w:rsidR="00713B5E" w:rsidRPr="009B66A4" w14:paraId="28376DB9" w14:textId="77777777" w:rsidTr="00A3759F">
        <w:trPr>
          <w:trHeight w:val="20"/>
        </w:trPr>
        <w:tc>
          <w:tcPr>
            <w:tcW w:w="1444" w:type="dxa"/>
            <w:noWrap/>
            <w:vAlign w:val="center"/>
            <w:hideMark/>
          </w:tcPr>
          <w:p w14:paraId="0C1AD304" w14:textId="1B552EE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Gomathi, 2023</w:t>
            </w:r>
            <w:r w:rsidR="0083174D" w:rsidRPr="009B66A4">
              <w:rPr>
                <w:rFonts w:ascii="Calibri" w:eastAsia="Times New Roman" w:hAnsi="Calibri" w:cs="Calibri"/>
                <w:kern w:val="0"/>
                <w:sz w:val="20"/>
                <w:szCs w:val="20"/>
                <w14:ligatures w14:val="none"/>
              </w:rPr>
              <w:fldChar w:fldCharType="begin"/>
            </w:r>
            <w:r w:rsidR="0083174D" w:rsidRPr="009B66A4">
              <w:rPr>
                <w:rFonts w:ascii="Calibri" w:eastAsia="Times New Roman" w:hAnsi="Calibri" w:cs="Calibri"/>
                <w:kern w:val="0"/>
                <w:sz w:val="20"/>
                <w:szCs w:val="20"/>
                <w14:ligatures w14:val="none"/>
              </w:rPr>
              <w:instrText xml:space="preserve"> ADDIN ZOTERO_ITEM CSL_CITATION {"citationID":"DXUwJped","properties":{"formattedCitation":"[17]","plainCitation":"[17]","noteIndex":0},"citationItems":[{"id":2929,"uris":["http://zotero.org/users/11896629/items/TEJIH5EK"],"itemData":{"id":2929,"type":"article-journal","container-title":"Molecular Neurobiology","DOI":"10.1007/s12035-023-03882-y","ISSN":"0893-7648, 1559-1182","issue":"7","journalAbbreviation":"Mol Neurobiol","language":"en","page":"4868-4878","source":"DOI.org (Crossref)","title":"Genetic Instability and Disease Progression of Indian Rett Syndrome Patients","volume":"61","author":[{"family":"Gomathi","given":"Mohan"},{"family":"Dhivya","given":"Venkatesan"},{"family":"Padmavathi","given":"Vijayakumar"},{"family":"Pradeepkumar","given":"Murugasamy"},{"family":"Robert Wilson","given":"S."},{"family":"Kumar","given":"Nachimuthu Senthil"},{"family":"Balachandar","given":"Vellingiri"}],"issued":{"date-parts":[["2024",7]]}}}],"schema":"https://github.com/citation-style-language/schema/raw/master/csl-citation.json"} </w:instrText>
            </w:r>
            <w:r w:rsidR="0083174D" w:rsidRPr="009B66A4">
              <w:rPr>
                <w:rFonts w:ascii="Calibri" w:eastAsia="Times New Roman" w:hAnsi="Calibri" w:cs="Calibri"/>
                <w:kern w:val="0"/>
                <w:sz w:val="20"/>
                <w:szCs w:val="20"/>
                <w14:ligatures w14:val="none"/>
              </w:rPr>
              <w:fldChar w:fldCharType="separate"/>
            </w:r>
            <w:r w:rsidR="0083174D" w:rsidRPr="009B66A4">
              <w:rPr>
                <w:rFonts w:ascii="Calibri" w:hAnsi="Calibri" w:cs="Calibri"/>
                <w:sz w:val="20"/>
                <w:szCs w:val="20"/>
              </w:rPr>
              <w:t>[17]</w:t>
            </w:r>
            <w:r w:rsidR="0083174D"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7C1E052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India</w:t>
            </w:r>
          </w:p>
        </w:tc>
        <w:tc>
          <w:tcPr>
            <w:tcW w:w="1316" w:type="dxa"/>
            <w:noWrap/>
            <w:vAlign w:val="center"/>
            <w:hideMark/>
          </w:tcPr>
          <w:p w14:paraId="26B8E5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E44EB9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50EFD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B2EB4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9DDACD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w:t>
            </w:r>
          </w:p>
        </w:tc>
        <w:tc>
          <w:tcPr>
            <w:tcW w:w="1682" w:type="dxa"/>
            <w:vAlign w:val="center"/>
            <w:hideMark/>
          </w:tcPr>
          <w:p w14:paraId="183BDE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BC0FE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45E6729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394" w:type="dxa"/>
            <w:vAlign w:val="center"/>
            <w:hideMark/>
          </w:tcPr>
          <w:p w14:paraId="34C7753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62E938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C9F618E" w14:textId="77777777" w:rsidTr="00A3759F">
        <w:trPr>
          <w:trHeight w:val="20"/>
        </w:trPr>
        <w:tc>
          <w:tcPr>
            <w:tcW w:w="1444" w:type="dxa"/>
            <w:noWrap/>
            <w:vAlign w:val="center"/>
            <w:hideMark/>
          </w:tcPr>
          <w:p w14:paraId="71791A36" w14:textId="564316F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Stone, 2023</w:t>
            </w:r>
            <w:r w:rsidR="0047190B" w:rsidRPr="009B66A4">
              <w:rPr>
                <w:rFonts w:ascii="Calibri" w:eastAsia="Times New Roman" w:hAnsi="Calibri" w:cs="Calibri"/>
                <w:kern w:val="0"/>
                <w:sz w:val="20"/>
                <w:szCs w:val="20"/>
                <w14:ligatures w14:val="none"/>
              </w:rPr>
              <w:fldChar w:fldCharType="begin"/>
            </w:r>
            <w:r w:rsidR="006C20DB" w:rsidRPr="009B66A4">
              <w:rPr>
                <w:rFonts w:ascii="Calibri" w:eastAsia="Times New Roman" w:hAnsi="Calibri" w:cs="Calibri"/>
                <w:kern w:val="0"/>
                <w:sz w:val="20"/>
                <w:szCs w:val="20"/>
                <w14:ligatures w14:val="none"/>
              </w:rPr>
              <w:instrText xml:space="preserve"> ADDIN ZOTERO_ITEM CSL_CITATION {"citationID":"ZKYxxVsO","properties":{"formattedCitation":"[18]","plainCitation":"[18]","noteIndex":0},"citationItems":[{"id":3379,"uris":["http://zotero.org/users/11896629/items/7VPJ6RPW"],"itemData":{"id":3379,"type":"article-journal","abstract":"Study Design.\n              Retrospective database cohort study.\n            \n            \n              Objective.\n              To evaluate U.S. treatment trends and inpatient outcomes for children undergoing posterior spinal fusion (PSF) for Rett syndrome (RTT)–associated scoliosis (RAS).\n            \n            \n              Summary of Background Data.\n              RTT is a rare, sporadic neurodevelopmental disorder presenting in childhood with developmental regression, ataxia, and seizures. RAS occurs in 50% to 80% of cases of RTT, but little is known about the case volume and perioperative experience for children undergoing PSF.\n            \n            \n              Materials and Methods.\n              Using the International Classification of Diseases Ninth and 10th revision codes in the national Kids’ Inpatient Database, we identified children with RTT who underwent PSF from 2000 to 2019. Annual case volumes were analyzed. Clinical characteristics and outcomes were compared with those of a cohort of patients with neuromuscular scoliosis (NMS).\n            \n            \n              Results.\n              \n                Among 220 patients with RAS, 216 (98.2%) were females (mean age at surgery: 12.3±3.3 yr). Surgical case incidence steadily increased over 19 years, with more RAS admissions in the South (31.4%). Overall, patients with RAS demonstrated a higher mean Elixhauser Comorbidity Index score (2\n                vs\n                . 1,\n                P\n                &lt; 0.001) and had more perioperative complications (41.4%\n                vs\n                . 18%,\n                P\n                &lt; 0.001) than patients with NMS. RTT diagnosis independently predicted higher odds of any complications (odds ratio: 1.98,\n                P\n                &lt; 0.001) and increased length of stay (odds ratio: 1.18,\n                P\n                = 0.009) for admissions for PSF.\n              \n            \n            \n              Conclusions.\n              Surgical treatment for RAS is rare but increased over a 19-year period. Cases appear to be clustering by region, with the highest proportion in the South. The higher Elixhauser Comorbidity Index in RAS patients predicted higher costs, longer hospital stays, more complications (particularly respiratory), and more nonroutine discharge disposition than in other patients with NMS. RTT was independently associated with higher odds of complications and longer length of stay. Because RAS cases appear to be increasing in number, future studies should emphasize methods to reduce morbidity and investigate deformity-specific metrics to help better understand this population.","container-title":"Spine","DOI":"10.1097/BRS.0000000000004802","ISSN":"0362-2436","issue":"24","language":"en","page":"E409-E416","source":"DOI.org (Crossref)","title":"Rett Syndrome–Associated Scoliosis: Analysis of National Trends and Treatment Patterns of a Rare Indication for Posterior Instrumented Fusion","title-short":"Rett Syndrome–Associated Scoliosis","volume":"48","author":[{"family":"Stone","given":"Lauren E."},{"family":"Kelly","given":"Michael P."},{"family":"Alexander","given":"Madison"},{"family":"Brandel","given":"Michael"},{"family":"Lam","given":"Sandi K."},{"family":"Ravindra","given":"Vijay M."}],"issued":{"date-parts":[["2023",12,15]]}}}],"schema":"https://github.com/citation-style-language/schema/raw/master/csl-citation.json"} </w:instrText>
            </w:r>
            <w:r w:rsidR="0047190B" w:rsidRPr="009B66A4">
              <w:rPr>
                <w:rFonts w:ascii="Calibri" w:eastAsia="Times New Roman" w:hAnsi="Calibri" w:cs="Calibri"/>
                <w:kern w:val="0"/>
                <w:sz w:val="20"/>
                <w:szCs w:val="20"/>
                <w14:ligatures w14:val="none"/>
              </w:rPr>
              <w:fldChar w:fldCharType="separate"/>
            </w:r>
            <w:r w:rsidR="006C20DB" w:rsidRPr="009B66A4">
              <w:rPr>
                <w:rFonts w:ascii="Calibri" w:hAnsi="Calibri" w:cs="Calibri"/>
                <w:sz w:val="20"/>
                <w:szCs w:val="20"/>
              </w:rPr>
              <w:t>[18]</w:t>
            </w:r>
            <w:r w:rsidR="0047190B"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4DEF78C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76FA8C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04E5E79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2F1DED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3FE18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5F044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220</w:t>
            </w:r>
          </w:p>
        </w:tc>
        <w:tc>
          <w:tcPr>
            <w:tcW w:w="1682" w:type="dxa"/>
            <w:vAlign w:val="center"/>
            <w:hideMark/>
          </w:tcPr>
          <w:p w14:paraId="3D7E72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12.3 (2.7)</w:t>
            </w:r>
          </w:p>
        </w:tc>
        <w:tc>
          <w:tcPr>
            <w:tcW w:w="1394" w:type="dxa"/>
            <w:vAlign w:val="center"/>
            <w:hideMark/>
          </w:tcPr>
          <w:p w14:paraId="36EC1B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 (1.8%)</w:t>
            </w:r>
          </w:p>
        </w:tc>
        <w:tc>
          <w:tcPr>
            <w:tcW w:w="1394" w:type="dxa"/>
            <w:vAlign w:val="center"/>
            <w:hideMark/>
          </w:tcPr>
          <w:p w14:paraId="1AD95F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 (98.2%)</w:t>
            </w:r>
          </w:p>
        </w:tc>
        <w:tc>
          <w:tcPr>
            <w:tcW w:w="1394" w:type="dxa"/>
            <w:vAlign w:val="center"/>
            <w:hideMark/>
          </w:tcPr>
          <w:p w14:paraId="2036AE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6CDEDB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106D108" w14:textId="77777777" w:rsidTr="00A3759F">
        <w:trPr>
          <w:trHeight w:val="20"/>
        </w:trPr>
        <w:tc>
          <w:tcPr>
            <w:tcW w:w="1444" w:type="dxa"/>
            <w:noWrap/>
            <w:vAlign w:val="center"/>
            <w:hideMark/>
          </w:tcPr>
          <w:p w14:paraId="496E646B" w14:textId="70A41E7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Kay, 2023 </w:t>
            </w:r>
            <w:r w:rsidR="006C20DB" w:rsidRPr="009B66A4">
              <w:rPr>
                <w:rFonts w:ascii="Calibri" w:eastAsia="Times New Roman" w:hAnsi="Calibri" w:cs="Calibri"/>
                <w:kern w:val="0"/>
                <w:sz w:val="20"/>
                <w:szCs w:val="20"/>
                <w14:ligatures w14:val="none"/>
              </w:rPr>
              <w:fldChar w:fldCharType="begin"/>
            </w:r>
            <w:r w:rsidR="006C20DB" w:rsidRPr="009B66A4">
              <w:rPr>
                <w:rFonts w:ascii="Calibri" w:eastAsia="Times New Roman" w:hAnsi="Calibri" w:cs="Calibri"/>
                <w:kern w:val="0"/>
                <w:sz w:val="20"/>
                <w:szCs w:val="20"/>
                <w14:ligatures w14:val="none"/>
              </w:rPr>
              <w:instrText xml:space="preserve"> ADDIN ZOTERO_ITEM CSL_CITATION {"citationID":"QadJ5sxf","properties":{"formattedCitation":"[19]","plainCitation":"[19]","noteIndex":0},"citationItems":[{"id":3316,"uris":["http://zotero.org/users/11896629/items/MAXESGTI"],"itemData":{"id":3316,"type":"article-journal","abstract":"Background\n              Rett syndrome is a genetically caused neurodevelopmental disorder associated with severe impairments and complex comorbidities. This study examined predictors of anxiety and depression in Rett syndrome, including genotype.\n            \n            \n              Methods\n              The International Rett Syndrome Database, InterRett, was the data source for this observational study. Associations between genotype, functional abilities, comorbidities, anxiety and depression were estimated with univariate and multivariate regression models. An additional regression model for anxiety included use of an anxiety medication as a predictor variable.\n            \n            \n              Results\n              The sample included 210 individuals aged 6–51 years of whom 54 (25.7%) were on psychotropic medication for anxiety or depression. Individuals with the p.Arg294* variant had the highest anxiety scores, as did those with insomnia or excessive daytime sleepiness, irrespective of anxiety medication use. Individuals with the p.Arg306Cys variant had the lowest depression scores, as did those with insomnia or excessive daytime sleepiness.\n            \n            \n              Conclusion\n              Findings indicated that genotype and sleep have implications for mental health in Rett syndrome, suggesting that anticipatory guidance and proactive management of poor sleep could improve mental health. More research is needed to understand the effects of psychometric medications, which cannot be inferred from this cross-sectional study.","container-title":"Journal of Medical Genetics","DOI":"10.1136/jmg-2022-108905","ISSN":"0022-2593, 1468-6244","issue":"10","journalAbbreviation":"J Med Genet","language":"en","page":"951-959","source":"DOI.org (Crossref)","title":"Genotype and sleep independently predict mental health in Rett syndrome: an observational study","title-short":"Genotype and sleep independently predict mental health in Rett syndrome","volume":"60","author":[{"family":"Kay","given":"Cayla"},{"family":"Leonard","given":"Helen"},{"family":"Smith","given":"Jeremy"},{"family":"Wong","given":"Kingsley"},{"family":"Downs","given":"Jenny"}],"issued":{"date-parts":[["2023",10]]}}}],"schema":"https://github.com/citation-style-language/schema/raw/master/csl-citation.json"} </w:instrText>
            </w:r>
            <w:r w:rsidR="006C20DB" w:rsidRPr="009B66A4">
              <w:rPr>
                <w:rFonts w:ascii="Calibri" w:eastAsia="Times New Roman" w:hAnsi="Calibri" w:cs="Calibri"/>
                <w:kern w:val="0"/>
                <w:sz w:val="20"/>
                <w:szCs w:val="20"/>
                <w14:ligatures w14:val="none"/>
              </w:rPr>
              <w:fldChar w:fldCharType="separate"/>
            </w:r>
            <w:r w:rsidR="006C20DB" w:rsidRPr="009B66A4">
              <w:rPr>
                <w:rFonts w:ascii="Calibri" w:hAnsi="Calibri" w:cs="Calibri"/>
                <w:sz w:val="20"/>
                <w:szCs w:val="20"/>
              </w:rPr>
              <w:t>[19]</w:t>
            </w:r>
            <w:r w:rsidR="006C20DB" w:rsidRPr="009B66A4">
              <w:rPr>
                <w:rFonts w:ascii="Calibri" w:eastAsia="Times New Roman" w:hAnsi="Calibri" w:cs="Calibri"/>
                <w:kern w:val="0"/>
                <w:sz w:val="20"/>
                <w:szCs w:val="20"/>
                <w14:ligatures w14:val="none"/>
              </w:rPr>
              <w:fldChar w:fldCharType="end"/>
            </w:r>
          </w:p>
        </w:tc>
        <w:tc>
          <w:tcPr>
            <w:tcW w:w="1194" w:type="dxa"/>
            <w:vAlign w:val="center"/>
            <w:hideMark/>
          </w:tcPr>
          <w:p w14:paraId="2B0F42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Multiple (country names not mentioned)</w:t>
            </w:r>
          </w:p>
        </w:tc>
        <w:tc>
          <w:tcPr>
            <w:tcW w:w="1316" w:type="dxa"/>
            <w:vAlign w:val="center"/>
            <w:hideMark/>
          </w:tcPr>
          <w:p w14:paraId="038740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76CA4BF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49D08E3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0EC548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572BD1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210</w:t>
            </w:r>
          </w:p>
        </w:tc>
        <w:tc>
          <w:tcPr>
            <w:tcW w:w="1682" w:type="dxa"/>
            <w:vAlign w:val="center"/>
            <w:hideMark/>
          </w:tcPr>
          <w:p w14:paraId="7DCE031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18 years and 2 months (Range: 6 – 51 years)</w:t>
            </w:r>
          </w:p>
        </w:tc>
        <w:tc>
          <w:tcPr>
            <w:tcW w:w="1394" w:type="dxa"/>
            <w:vAlign w:val="center"/>
            <w:hideMark/>
          </w:tcPr>
          <w:p w14:paraId="63593F0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71D2E54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42B38F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210 (100%)</w:t>
            </w:r>
          </w:p>
        </w:tc>
        <w:tc>
          <w:tcPr>
            <w:tcW w:w="1438" w:type="dxa"/>
            <w:vAlign w:val="center"/>
            <w:hideMark/>
          </w:tcPr>
          <w:p w14:paraId="7DA5E9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02C2248" w14:textId="77777777" w:rsidTr="00A3759F">
        <w:trPr>
          <w:trHeight w:val="196"/>
        </w:trPr>
        <w:tc>
          <w:tcPr>
            <w:tcW w:w="1444" w:type="dxa"/>
            <w:noWrap/>
            <w:vAlign w:val="center"/>
            <w:hideMark/>
          </w:tcPr>
          <w:p w14:paraId="5D8E1A6A" w14:textId="71185CF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Taylor, 2023</w:t>
            </w:r>
            <w:r w:rsidR="006C20DB" w:rsidRPr="009B66A4">
              <w:rPr>
                <w:rFonts w:ascii="Calibri" w:eastAsia="Times New Roman" w:hAnsi="Calibri" w:cs="Calibri"/>
                <w:kern w:val="0"/>
                <w:sz w:val="20"/>
                <w:szCs w:val="20"/>
                <w14:ligatures w14:val="none"/>
              </w:rPr>
              <w:fldChar w:fldCharType="begin"/>
            </w:r>
            <w:r w:rsidR="00A72A64" w:rsidRPr="009B66A4">
              <w:rPr>
                <w:rFonts w:ascii="Calibri" w:eastAsia="Times New Roman" w:hAnsi="Calibri" w:cs="Calibri"/>
                <w:kern w:val="0"/>
                <w:sz w:val="20"/>
                <w:szCs w:val="20"/>
                <w14:ligatures w14:val="none"/>
              </w:rPr>
              <w:instrText xml:space="preserve"> ADDIN ZOTERO_ITEM CSL_CITATION {"citationID":"R42MlCeA","properties":{"formattedCitation":"[20]","plainCitation":"[20]","noteIndex":0},"citationItems":[{"id":3380,"uris":["http://zotero.org/users/11896629/items/GSLT4MM3"],"itemData":{"id":3380,"type":"article-journal","abstract":"Background:\n              Neuromuscular scoliosis in Rett syndrome (RS) is common, progressive, and often requires posterior spinal fusion (PSF). While PSF is associated with improved overall outcomes, there is a paucity of information describing complications. We aimed to report the postoperative complications, readmissions, and reoperations for patients with RS undergoing PSF.\n            \n            \n              Methods:\n              Female pediatric patients with RS treated by PSF with segmental instrumentation, with or without concurrent pelvis fixation, during January 2012 to August 2022 were included. Preoperative patient characteristics, intraoperative data (estimated blood loss, cell saver, packed red blood cells transfused), postoperative complications according to the Modified Clavien-Dindo-Sink classification within 90 days, unplanned readmissions within 30 days, and unplanned reoperations within 90 days were recorded.\n            \n            \n              Results:\n              \n                A total of 25 females were included. The mean (SD) age at surgery was 12.9 (1.8) years and the mean follow-up of 38.6 (24.9) months. The mean preoperative major coronal curve was 79 degrees (23 degrees) which decreased to 32 degrees (15 degrees) by the last follow-up (\n                P\n                &lt;0.001). The median estimated blood loss was 600 mL and length of stay was 7 days. There were 81 total postoperative complications (3.2 complications/patient). Eight (32%) had grade IVa complications (disseminated intravascular coagulopathy, hypotensive shock, respiratory failure, chronic urosepsis). Five (20%) patients experienced seizures, 48% had pulmonary complications, and 56% had gastrointestinal complications. There were 3 readmissions (12%) within 30 days for pneumonia and 2 (8%) reoperations (an incision and drainage and C2-T2 fusion for significant kyphosis) within 90 days. One patient also had their fusion extended to the pelvis 1 year later. There were more nonambulatory patients in the group fused to the pelvis, but otherwise no differences between those fused and unfused to the pelvis.\n              \n            \n            \n              Conclusions:\n              This is the largest review of early postoperative complications for patients with RS who underwent PSF. PSF effectively reduced the major coronal curve, but surgeons and families should be aware of a high postoperative seizure and respiratory complication rate, as well as 8% having reoperations within 90 days and 12% being readmitted within 30 days.\n            \n            \n              Level of Evidence:\n              Level IV—therapeutic study.","container-title":"Journal of Pediatric Orthopaedics","DOI":"10.1097/BPO.0000000000002384","ISSN":"0271-6798","issue":"5","language":"en","page":"e326-e330","source":"DOI.org (Crossref)","title":"Early Complications After Posterior Spinal Fusion in Patients With Rett Syndrome","volume":"43","author":[{"family":"Taylor","given":"Tristen N."},{"family":"Bridges","given":"Callie S."},{"family":"Nordstrom","given":"Luke A."},{"family":"Hanson","given":"Darrell S."},{"family":"Gerow","given":"Frank T."},{"family":"Smith","given":"Brian G."}],"issued":{"date-parts":[["2023",5]]}}}],"schema":"https://github.com/citation-style-language/schema/raw/master/csl-citation.json"} </w:instrText>
            </w:r>
            <w:r w:rsidR="006C20DB" w:rsidRPr="009B66A4">
              <w:rPr>
                <w:rFonts w:ascii="Calibri" w:eastAsia="Times New Roman" w:hAnsi="Calibri" w:cs="Calibri"/>
                <w:kern w:val="0"/>
                <w:sz w:val="20"/>
                <w:szCs w:val="20"/>
                <w14:ligatures w14:val="none"/>
              </w:rPr>
              <w:fldChar w:fldCharType="separate"/>
            </w:r>
            <w:r w:rsidR="00A72A64" w:rsidRPr="009B66A4">
              <w:rPr>
                <w:rFonts w:ascii="Calibri" w:hAnsi="Calibri" w:cs="Calibri"/>
                <w:sz w:val="20"/>
                <w:szCs w:val="20"/>
              </w:rPr>
              <w:t>[20]</w:t>
            </w:r>
            <w:r w:rsidR="006C20DB" w:rsidRPr="009B66A4">
              <w:rPr>
                <w:rFonts w:ascii="Calibri" w:eastAsia="Times New Roman" w:hAnsi="Calibri" w:cs="Calibri"/>
                <w:kern w:val="0"/>
                <w:sz w:val="20"/>
                <w:szCs w:val="20"/>
                <w14:ligatures w14:val="none"/>
              </w:rPr>
              <w:fldChar w:fldCharType="end"/>
            </w:r>
            <w:r w:rsidRPr="009B66A4">
              <w:rPr>
                <w:rFonts w:ascii="Calibri" w:eastAsia="Times New Roman" w:hAnsi="Calibri" w:cs="Calibri"/>
                <w:kern w:val="0"/>
                <w:sz w:val="20"/>
                <w:szCs w:val="20"/>
                <w14:ligatures w14:val="none"/>
              </w:rPr>
              <w:t xml:space="preserve"> </w:t>
            </w:r>
          </w:p>
        </w:tc>
        <w:tc>
          <w:tcPr>
            <w:tcW w:w="1194" w:type="dxa"/>
            <w:noWrap/>
            <w:vAlign w:val="center"/>
            <w:hideMark/>
          </w:tcPr>
          <w:p w14:paraId="2F982D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7C1CFF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7F75ECB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A07D9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A3062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D30BF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w:t>
            </w:r>
          </w:p>
        </w:tc>
        <w:tc>
          <w:tcPr>
            <w:tcW w:w="1682" w:type="dxa"/>
            <w:noWrap/>
            <w:vAlign w:val="center"/>
            <w:hideMark/>
          </w:tcPr>
          <w:p w14:paraId="122087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17.97 (3.8)</w:t>
            </w:r>
          </w:p>
        </w:tc>
        <w:tc>
          <w:tcPr>
            <w:tcW w:w="1394" w:type="dxa"/>
            <w:vAlign w:val="center"/>
            <w:hideMark/>
          </w:tcPr>
          <w:p w14:paraId="04F8AD9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5328C5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 (100%)</w:t>
            </w:r>
          </w:p>
        </w:tc>
        <w:tc>
          <w:tcPr>
            <w:tcW w:w="1394" w:type="dxa"/>
            <w:vAlign w:val="center"/>
            <w:hideMark/>
          </w:tcPr>
          <w:p w14:paraId="5E30E0C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142B67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6C422AA" w14:textId="77777777" w:rsidTr="00A3759F">
        <w:trPr>
          <w:trHeight w:val="20"/>
        </w:trPr>
        <w:tc>
          <w:tcPr>
            <w:tcW w:w="1444" w:type="dxa"/>
            <w:noWrap/>
            <w:vAlign w:val="center"/>
            <w:hideMark/>
          </w:tcPr>
          <w:p w14:paraId="182C01E5" w14:textId="0B38D9B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Menachem, 2023 </w:t>
            </w:r>
            <w:r w:rsidR="00A72A64" w:rsidRPr="009B66A4">
              <w:rPr>
                <w:rFonts w:ascii="Calibri" w:eastAsia="Times New Roman" w:hAnsi="Calibri" w:cs="Calibri"/>
                <w:kern w:val="0"/>
                <w:sz w:val="20"/>
                <w:szCs w:val="20"/>
                <w14:ligatures w14:val="none"/>
              </w:rPr>
              <w:fldChar w:fldCharType="begin"/>
            </w:r>
            <w:r w:rsidR="00FA17CE" w:rsidRPr="009B66A4">
              <w:rPr>
                <w:rFonts w:ascii="Calibri" w:eastAsia="Times New Roman" w:hAnsi="Calibri" w:cs="Calibri"/>
                <w:kern w:val="0"/>
                <w:sz w:val="20"/>
                <w:szCs w:val="20"/>
                <w14:ligatures w14:val="none"/>
              </w:rPr>
              <w:instrText xml:space="preserve"> ADDIN ZOTERO_ITEM CSL_CITATION {"citationID":"RwEStkmM","properties":{"formattedCitation":"[21]","plainCitation":"[21]","noteIndex":0},"citationItems":[{"id":3381,"uris":["http://zotero.org/users/11896629/items/EY5NILSD"],"itemData":{"id":3381,"type":"article-journal","abstract":"Study Design:\n              This was a retrospective case series.\n            \n            \n              Objective:\n              The objective of this study was to discuss the treatment challenges in scoliosis patients with Rett syndrome (RTT) in a national referral centre for RTT. We describe structural characteristics of curves, age of onset, genetic mutation, ambulation status, and treatment through RTT progression. Based on this unique experience, we aimed to suggest guidelines for scoliosis treatment in RTT patients.\n            \n            \n              Summary of Background Data:\n              RTT is a neurodevelopmental disorder associated with a mutation in the methyl-CpG binding protein 2 (MECP2) gene, primarily in females with significant features of growth failure, gastrointestinal and pulmonary dysfunction, ataxia, seizures, and intellectual disability. Scoliosis is the most common orthopedic manifestation of RTT and is present in 64%–75% of patients. No clear guidelines for scoliosis treatment in RTT are available, and typically patients are treated according to guidelines of another neuromuscular scoliosis.\n            \n            \n              Methods:\n              Clinical and radiographic data were gathered, including MECP2 mutation type, scoliosis characteristics, preoperative treatment, surgical treatment, functional status, and postoperative follow-up.\n            \n            \n              Results:\n              Our cohort included 102 patients with RTT. They were 36 who presented with scoliosis; 18 were treated surgically. C-curve was found in 17 patients and S-type in 19. Scoliosis treatment onset was 8.76 years in the C-type group and 13.88 years in the S-type group. The average curve at the time of surgery was 52.42 degrees. The average time until surgery was 2.44 years. Seventeen patients underwent posterior spinal fusion, and 1 patient underwent posterior spinal fusion+anterior spinal fusion with an average correction of 40 degrees. The most common mutation was R255X nucleotide (30% of cases). The most severe curves had mutations R168X and R270X nucleotides.\n            \n            \n              Conclusions:\n              We advise early monitoring for patients with RTT and scoliosis due to early and rapid progression. Common mutations found were R255X, R168X, R270X, and T158M. We recommend surgical treatment in every curve above 45 degrees, independently of age.","container-title":"Clinical Spine Surgery","DOI":"10.1097/BSD.0000000000001381","ISSN":"2380-0186","issue":"2","language":"en","page":"E75-E79","source":"DOI.org (Crossref)","title":"Scoliosis in RETT Syndrome: A National Referral Centre Experience","title-short":"Scoliosis in RETT Syndrome","volume":"36","author":[{"family":"Menachem","given":"Shay"},{"family":"Hershkovich","given":"Oded"},{"family":"Ackshota","given":"Nissim"},{"family":"Friedlander","given":"Alon"},{"family":"Givon","given":"Uri"},{"family":"Ben-Zeev","given":"Bruria"},{"family":"Caspi","given":"Israel"}],"issued":{"date-parts":[["2023",3]]}}}],"schema":"https://github.com/citation-style-language/schema/raw/master/csl-citation.json"} </w:instrText>
            </w:r>
            <w:r w:rsidR="00A72A64" w:rsidRPr="009B66A4">
              <w:rPr>
                <w:rFonts w:ascii="Calibri" w:eastAsia="Times New Roman" w:hAnsi="Calibri" w:cs="Calibri"/>
                <w:kern w:val="0"/>
                <w:sz w:val="20"/>
                <w:szCs w:val="20"/>
                <w14:ligatures w14:val="none"/>
              </w:rPr>
              <w:fldChar w:fldCharType="separate"/>
            </w:r>
            <w:r w:rsidR="00FA17CE" w:rsidRPr="009B66A4">
              <w:rPr>
                <w:rFonts w:ascii="Calibri" w:hAnsi="Calibri" w:cs="Calibri"/>
                <w:sz w:val="20"/>
                <w:szCs w:val="20"/>
              </w:rPr>
              <w:t>[21]</w:t>
            </w:r>
            <w:r w:rsidR="00A72A6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B516A9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Israel</w:t>
            </w:r>
          </w:p>
        </w:tc>
        <w:tc>
          <w:tcPr>
            <w:tcW w:w="1316" w:type="dxa"/>
            <w:noWrap/>
            <w:vAlign w:val="center"/>
            <w:hideMark/>
          </w:tcPr>
          <w:p w14:paraId="2D72BF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2625B4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0F7EE3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1FB5F1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737C5E6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100</w:t>
            </w:r>
          </w:p>
        </w:tc>
        <w:tc>
          <w:tcPr>
            <w:tcW w:w="1682" w:type="dxa"/>
            <w:vAlign w:val="center"/>
            <w:hideMark/>
          </w:tcPr>
          <w:p w14:paraId="053DAB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9F09A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0E5AEA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100 (100%)</w:t>
            </w:r>
          </w:p>
        </w:tc>
        <w:tc>
          <w:tcPr>
            <w:tcW w:w="1394" w:type="dxa"/>
            <w:vAlign w:val="center"/>
            <w:hideMark/>
          </w:tcPr>
          <w:p w14:paraId="50F3B08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2FC940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8E0AC5F" w14:textId="77777777" w:rsidTr="00A3759F">
        <w:trPr>
          <w:trHeight w:val="20"/>
        </w:trPr>
        <w:tc>
          <w:tcPr>
            <w:tcW w:w="1444" w:type="dxa"/>
            <w:noWrap/>
            <w:vAlign w:val="center"/>
            <w:hideMark/>
          </w:tcPr>
          <w:p w14:paraId="3D72B577" w14:textId="620A65E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Zade, 2023</w:t>
            </w:r>
            <w:r w:rsidR="00FA17CE" w:rsidRPr="009B66A4">
              <w:rPr>
                <w:rFonts w:ascii="Calibri" w:eastAsia="Times New Roman" w:hAnsi="Calibri" w:cs="Calibri"/>
                <w:kern w:val="0"/>
                <w:sz w:val="20"/>
                <w:szCs w:val="20"/>
                <w14:ligatures w14:val="none"/>
              </w:rPr>
              <w:fldChar w:fldCharType="begin"/>
            </w:r>
            <w:r w:rsidR="0084072A" w:rsidRPr="009B66A4">
              <w:rPr>
                <w:rFonts w:ascii="Calibri" w:eastAsia="Times New Roman" w:hAnsi="Calibri" w:cs="Calibri"/>
                <w:kern w:val="0"/>
                <w:sz w:val="20"/>
                <w:szCs w:val="20"/>
                <w14:ligatures w14:val="none"/>
              </w:rPr>
              <w:instrText xml:space="preserve"> ADDIN ZOTERO_ITEM CSL_CITATION {"citationID":"lWxPGdrS","properties":{"formattedCitation":"[22]","plainCitation":"[22]","noteIndex":0},"citationItems":[{"id":3382,"uris":["http://zotero.org/users/11896629/items/G2VIUDNV"],"itemData":{"id":3382,"type":"article","abstract":"Abstract\n          \n            Rett syndrome (RTT) is a rare neuropsychiatric condition associated to mutations in the gene coding for the methyl-CpG-binding protein 2 (\n            MECP2\n            ). It is primarily observed in girls and affects individuals globally. The understanding of the neurobiology of RTT and patient management has been improved by studies that describe the demographic and clinical presentation of patients with RTT. However, in Ireland, there is a scarcity of data regarding patients with RTT, which impedes the ability to fully characterize the Irish RTT population. Together with the Rett Syndrome Association of Ireland (RSAI), we prepared a questionnaire to determine the characteristics of RTT patients in Ireland. Twenty families have participated in the study to date, providing information about demographics, genetics, familial history, clinical features, and regression. The main finding of this study is the limited number of genetic tests conducted to support the clinical diagnosis of RTT. The results shows that Irish patients with RTT have comparable presentation with respect to patients in other countries, however, they had a better response to anti-epileptic drugs and fewer skeletal deformities were reported. Nonetheless, seizures, involuntary movements and regression were more frequently observed in Irish patients. Despite the limited sample size, this study is the first to characterise the RTT population in Ireland and highlights the importance of genetic testing for patients with RTT in order to sharpen the characterization of the phenotype and increase the visibility of Irish patients in the international RTT community.","DOI":"10.1101/2023.02.13.23285763","language":"en","publisher":"Neurology","source":"DOI.org (Crossref)","title":"Rett Syndrome in Ireland: A demographic study","title-short":"Rett Syndrome in Ireland","URL":"http://medrxiv.org/lookup/doi/10.1101/2023.02.13.23285763","author":[{"family":"Zade","given":"Komal"},{"family":"Campbell","given":"Ciara"},{"family":"Bach","given":"Snow"},{"family":"Fernandes","given":"Hazel"},{"family":"Tropea","given":"Daniela"}],"accessed":{"date-parts":[["2026",2,16]]},"issued":{"date-parts":[["2023",2,16]]}}}],"schema":"https://github.com/citation-style-language/schema/raw/master/csl-citation.json"} </w:instrText>
            </w:r>
            <w:r w:rsidR="00FA17CE" w:rsidRPr="009B66A4">
              <w:rPr>
                <w:rFonts w:ascii="Calibri" w:eastAsia="Times New Roman" w:hAnsi="Calibri" w:cs="Calibri"/>
                <w:kern w:val="0"/>
                <w:sz w:val="20"/>
                <w:szCs w:val="20"/>
                <w14:ligatures w14:val="none"/>
              </w:rPr>
              <w:fldChar w:fldCharType="separate"/>
            </w:r>
            <w:r w:rsidR="0084072A" w:rsidRPr="009B66A4">
              <w:rPr>
                <w:rFonts w:ascii="Calibri" w:hAnsi="Calibri" w:cs="Calibri"/>
                <w:sz w:val="20"/>
                <w:szCs w:val="20"/>
              </w:rPr>
              <w:t>[22]</w:t>
            </w:r>
            <w:r w:rsidR="00FA17C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4A86A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 and Ireland</w:t>
            </w:r>
          </w:p>
        </w:tc>
        <w:tc>
          <w:tcPr>
            <w:tcW w:w="1316" w:type="dxa"/>
            <w:noWrap/>
            <w:vAlign w:val="center"/>
            <w:hideMark/>
          </w:tcPr>
          <w:p w14:paraId="7C113D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C720D0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E6AAD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D822C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5F126D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w:t>
            </w:r>
          </w:p>
        </w:tc>
        <w:tc>
          <w:tcPr>
            <w:tcW w:w="1682" w:type="dxa"/>
            <w:noWrap/>
            <w:vAlign w:val="center"/>
            <w:hideMark/>
          </w:tcPr>
          <w:p w14:paraId="6F6C4D9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20.6 (11.748)</w:t>
            </w:r>
          </w:p>
        </w:tc>
        <w:tc>
          <w:tcPr>
            <w:tcW w:w="1394" w:type="dxa"/>
            <w:noWrap/>
            <w:vAlign w:val="center"/>
            <w:hideMark/>
          </w:tcPr>
          <w:p w14:paraId="28E87B6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9D231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FD4E3D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7535B7F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DB9469B" w14:textId="77777777" w:rsidTr="00A3759F">
        <w:trPr>
          <w:trHeight w:val="20"/>
        </w:trPr>
        <w:tc>
          <w:tcPr>
            <w:tcW w:w="1444" w:type="dxa"/>
            <w:vMerge w:val="restart"/>
            <w:noWrap/>
            <w:vAlign w:val="center"/>
            <w:hideMark/>
          </w:tcPr>
          <w:p w14:paraId="4E41805E" w14:textId="5628451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Rodocanachi-Roidi, 2022</w:t>
            </w:r>
            <w:r w:rsidR="0084072A" w:rsidRPr="009B66A4">
              <w:rPr>
                <w:rFonts w:ascii="Calibri" w:eastAsia="Times New Roman" w:hAnsi="Calibri" w:cs="Calibri"/>
                <w:kern w:val="0"/>
                <w:sz w:val="20"/>
                <w:szCs w:val="20"/>
                <w14:ligatures w14:val="none"/>
              </w:rPr>
              <w:fldChar w:fldCharType="begin"/>
            </w:r>
            <w:r w:rsidR="00402DFE" w:rsidRPr="009B66A4">
              <w:rPr>
                <w:rFonts w:ascii="Calibri" w:eastAsia="Times New Roman" w:hAnsi="Calibri" w:cs="Calibri"/>
                <w:kern w:val="0"/>
                <w:sz w:val="20"/>
                <w:szCs w:val="20"/>
                <w14:ligatures w14:val="none"/>
              </w:rPr>
              <w:instrText xml:space="preserve"> ADDIN ZOTERO_ITEM CSL_CITATION {"citationID":"YQfpjvGx","properties":{"formattedCitation":"[23]","plainCitation":"[23]","noteIndex":0},"citationItems":[{"id":3384,"uris":["http://zotero.org/users/11896629/items/4ZEGI3QG"],"itemData":{"id":3384,"type":"article-journal","abstract":"Abstract\n            \n              Aim\n              To identify the clinical features correlating with the presence and severity of scoliosis in girls with Rett syndrome (RTT).\n            \n            \n              Method\n              Seventy-five girls with a clinical and genetically determined diagnosis of RTT participated in this cross-sectional study. Clinical scales administered included the Rett assessment rating scale, the modified Ashworth scale, the Rett syndrome motor evaluation scale, the PainAD, and the scale of evaluation of purposeful hand function. Multivariable analyses, such as ordinal logistic regression and ANCOVA, were used to assess the correlation between these scales and a clinical score of scoliosis.\n            \n            \n              Results\n              About 60% of patients had scoliosis, in general mild or moderate. The severity of scoliosis correlated with age and important neurological factors such as muscular hypertonus and hyperreflexia, standing, walking (level walking and on stairs), and postural transitions. No association was found with global disease severity, hand function, pain, or type of genetic mutation.\n            \n            \n              Interpretation\n              Scoliosis is a relevant problem in RTT. It should be carefully monitored along the life span, especially in conjunction with (loco-)motor impairment in these patients.","container-title":"European Spine Journal","DOI":"10.1007/s00586-022-07217-8","ISSN":"0940-6719, 1432-0932","issue":"11","journalAbbreviation":"Eur Spine J","language":"en","page":"2987-2993","source":"DOI.org (Crossref)","title":"Clinical and genetic correlations of scoliosis in Rett syndrome","volume":"31","author":[{"family":"Rodocanachi Roidi","given":"Marina Luisa"},{"family":"Cozzi","given":"Francesca"},{"family":"Isaias","given":"Ioannis Ugo"},{"family":"Grange","given":"Francesca"},{"family":"Ferrari","given":"Elena Paola"},{"family":"Ripamonti","given":"Enrico"}],"issued":{"date-parts":[["2022",11]]}}}],"schema":"https://github.com/citation-style-language/schema/raw/master/csl-citation.json"} </w:instrText>
            </w:r>
            <w:r w:rsidR="0084072A" w:rsidRPr="009B66A4">
              <w:rPr>
                <w:rFonts w:ascii="Calibri" w:eastAsia="Times New Roman" w:hAnsi="Calibri" w:cs="Calibri"/>
                <w:kern w:val="0"/>
                <w:sz w:val="20"/>
                <w:szCs w:val="20"/>
                <w14:ligatures w14:val="none"/>
              </w:rPr>
              <w:fldChar w:fldCharType="separate"/>
            </w:r>
            <w:r w:rsidR="00402DFE" w:rsidRPr="009B66A4">
              <w:rPr>
                <w:rFonts w:ascii="Calibri" w:hAnsi="Calibri" w:cs="Calibri"/>
                <w:sz w:val="20"/>
                <w:szCs w:val="20"/>
              </w:rPr>
              <w:t>[23]</w:t>
            </w:r>
            <w:r w:rsidR="0084072A"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1E677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Merge w:val="restart"/>
            <w:noWrap/>
            <w:vAlign w:val="center"/>
            <w:hideMark/>
          </w:tcPr>
          <w:p w14:paraId="417FA1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586E36B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1735179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6AD7D0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74714D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75</w:t>
            </w:r>
          </w:p>
        </w:tc>
        <w:tc>
          <w:tcPr>
            <w:tcW w:w="1682" w:type="dxa"/>
            <w:vAlign w:val="center"/>
            <w:hideMark/>
          </w:tcPr>
          <w:p w14:paraId="39C8D75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With scoliosis: 14.5 (9.08)</w:t>
            </w:r>
          </w:p>
        </w:tc>
        <w:tc>
          <w:tcPr>
            <w:tcW w:w="1394" w:type="dxa"/>
            <w:vMerge w:val="restart"/>
            <w:noWrap/>
            <w:vAlign w:val="center"/>
            <w:hideMark/>
          </w:tcPr>
          <w:p w14:paraId="68F92F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3A9FD2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75 (100%)</w:t>
            </w:r>
          </w:p>
        </w:tc>
        <w:tc>
          <w:tcPr>
            <w:tcW w:w="1394" w:type="dxa"/>
            <w:vMerge w:val="restart"/>
            <w:noWrap/>
            <w:vAlign w:val="center"/>
            <w:hideMark/>
          </w:tcPr>
          <w:p w14:paraId="205308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noWrap/>
            <w:vAlign w:val="center"/>
            <w:hideMark/>
          </w:tcPr>
          <w:p w14:paraId="2C74F3C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E3A4E69" w14:textId="77777777" w:rsidTr="00A3759F">
        <w:trPr>
          <w:trHeight w:val="20"/>
        </w:trPr>
        <w:tc>
          <w:tcPr>
            <w:tcW w:w="1444" w:type="dxa"/>
            <w:vMerge/>
            <w:vAlign w:val="center"/>
            <w:hideMark/>
          </w:tcPr>
          <w:p w14:paraId="67D660F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265256C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FD78D2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B4EAC8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43D294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96492A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25A198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559257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Without scoliosis: 11.13 (8.92)</w:t>
            </w:r>
          </w:p>
        </w:tc>
        <w:tc>
          <w:tcPr>
            <w:tcW w:w="1394" w:type="dxa"/>
            <w:vMerge/>
            <w:vAlign w:val="center"/>
            <w:hideMark/>
          </w:tcPr>
          <w:p w14:paraId="6A3705E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BE9B1A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F50310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27499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72201524" w14:textId="77777777" w:rsidTr="00A3759F">
        <w:trPr>
          <w:trHeight w:val="20"/>
        </w:trPr>
        <w:tc>
          <w:tcPr>
            <w:tcW w:w="1444" w:type="dxa"/>
            <w:noWrap/>
            <w:vAlign w:val="center"/>
            <w:hideMark/>
          </w:tcPr>
          <w:p w14:paraId="5DDEE3D1" w14:textId="20BE3756"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Leoncini, 2022</w:t>
            </w:r>
            <w:r w:rsidR="00402DFE" w:rsidRPr="009B66A4">
              <w:rPr>
                <w:rFonts w:ascii="Calibri" w:eastAsia="Times New Roman" w:hAnsi="Calibri" w:cs="Calibri"/>
                <w:kern w:val="0"/>
                <w:sz w:val="20"/>
                <w:szCs w:val="20"/>
                <w14:ligatures w14:val="none"/>
              </w:rPr>
              <w:fldChar w:fldCharType="begin"/>
            </w:r>
            <w:r w:rsidR="00496C2B" w:rsidRPr="009B66A4">
              <w:rPr>
                <w:rFonts w:ascii="Calibri" w:eastAsia="Times New Roman" w:hAnsi="Calibri" w:cs="Calibri"/>
                <w:kern w:val="0"/>
                <w:sz w:val="20"/>
                <w:szCs w:val="20"/>
                <w14:ligatures w14:val="none"/>
              </w:rPr>
              <w:instrText xml:space="preserve"> ADDIN ZOTERO_ITEM CSL_CITATION {"citationID":"4Wd3Olo8","properties":{"formattedCitation":"[24]","plainCitation":"[24]","noteIndex":0},"citationItems":[{"id":3386,"uris":["http://zotero.org/users/11896629/items/2PXFVD8P"],"itemData":{"id":3386,"type":"article-journal","abstract":"Background\n              \n                Breathing abnormalities are common in Rett syndrome (RTT), a pervasive neurodevelopmental disorder almost exclusively affecting females. RTT is linked to mutations in the methyl-CpG-binding protein 2 (\n                MeCP2\n                ) gene. Our aim was to assess the clinical relevance of apneas during sleep-wakefulness cycle in a population with RTT and the possible impact of apneas on circulating oxidative stress markers.\n              \n            \n            \n              Methods\n              \n                Female patients with a clinical diagnosis of typical RTT (\n                n\n                = 66),\n                MECP2\n                gene mutation, and apneas were enrolled (mean age: 12.5 years). Baseline clinical severity, arterial blood gas analysis, and red blood cell count were assessed. Breathing was monitored during the wakefulness and sleep states (average recording time: 13 ± 0.5 h) with a portable polygraphic screening device. According to prevalence of breath holdings, the population was categorized into the wakefulness apnea (WA) and sleep apnea (SA) groups, and apnea-hypopnea index (AHI) was calculated. The impact of respiratory events on oxidative stress was assessed by plasma and intra-erythrocyte non-protein-bound iron (P-NPBI and IE-NPBI, respectively), and plasma F\n                2\n                -isoprostane (F\n                2\n                -IsoP) assays.\n              \n            \n            \n              Results\n              \n                Significant prevalence of obstructive apneas with values of AHI &amp;gt; 15 was present in 69.7% of the population with RTT. The group with SA showed significantly increased AHI values &amp;gt; 15 (\n                p\n                = 0.0032), total breath holding episodes (\n                p\n                = 0.007), and average SpO\n                2\n                (\n                p\n                = 0.0001) as well as lower nadir SpO\n                2\n                (\n                p\n                = 0.0004) compared with the patients with WAs. The subgroups of patients with WA and SA showed no significant differences in arterial blood gas analysis variables (\n                p\n                &amp;gt; 0.089). Decreased mean cell hemoglobin (MCH) (\n                p\n                = 0.038) was observed in the group with WAs. P-NPBI levels were significantly higher in the group with WA than in that with SAs (\n                p\n                = 0.0001). Stepwise multiple linear regression models showed WA being related to nadir SpO\n                2\n                , average SpO\n                2\n                , and P-NPBI (adjusted\n                R\n                2\n                = 0.613, multiple correlation coefficient = 0.795\n                p\n                &amp;lt; 0.0001), and P-NPBI being related to average SpO\n                2\n                , blood PaCO\n                2\n                , red blood cell mean corpuscular volume (MCV), age, and topiramate treatment (adjusted\n                R\n                2\n                = 0.551, multiple correlation coefficient = 0.765,\n                p\n                &amp;lt; 0.0001).\n              \n            \n            \n              Conclusion\n              Our findings indicate that the impact of apneas in RTT is uneven according to the sleep-wakefulness cycle, and that plasma redox active iron represents a potential novel therapeutic target.","container-title":"Frontiers in Neurology","DOI":"10.3389/fneur.2022.833239","ISSN":"1664-2295","journalAbbreviation":"Front. Neurol.","page":"833239","source":"DOI.org (Crossref)","title":"Breathing Abnormalities During Sleep and Wakefulness in Rett Syndrome: Clinical Relevance and Paradoxical Relationship With Circulating Pro-oxidant Markers","title-short":"Breathing Abnormalities During Sleep and Wakefulness in Rett Syndrome","volume":"13","author":[{"family":"Leoncini","given":"Silvia"},{"family":"Signorini","given":"Cinzia"},{"family":"Boasiako","given":"Lidia"},{"family":"Scandurra","given":"Valeria"},{"family":"Hayek","given":"Joussef"},{"family":"Ciccoli","given":"Lucia"},{"family":"Rossi","given":"Marcello"},{"family":"Canitano","given":"Roberto"},{"family":"De Felice","given":"Claudio"}],"issued":{"date-parts":[["2022",3,29]]}}}],"schema":"https://github.com/citation-style-language/schema/raw/master/csl-citation.json"} </w:instrText>
            </w:r>
            <w:r w:rsidR="00402DFE" w:rsidRPr="009B66A4">
              <w:rPr>
                <w:rFonts w:ascii="Calibri" w:eastAsia="Times New Roman" w:hAnsi="Calibri" w:cs="Calibri"/>
                <w:kern w:val="0"/>
                <w:sz w:val="20"/>
                <w:szCs w:val="20"/>
                <w14:ligatures w14:val="none"/>
              </w:rPr>
              <w:fldChar w:fldCharType="separate"/>
            </w:r>
            <w:r w:rsidR="00496C2B" w:rsidRPr="009B66A4">
              <w:rPr>
                <w:rFonts w:ascii="Calibri" w:hAnsi="Calibri" w:cs="Calibri"/>
                <w:sz w:val="20"/>
                <w:szCs w:val="20"/>
              </w:rPr>
              <w:t>[24]</w:t>
            </w:r>
            <w:r w:rsidR="00402DF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AD6A2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271DCB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3D1A91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3F49A8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7C7008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86B03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66</w:t>
            </w:r>
          </w:p>
        </w:tc>
        <w:tc>
          <w:tcPr>
            <w:tcW w:w="1682" w:type="dxa"/>
            <w:noWrap/>
            <w:vAlign w:val="center"/>
            <w:hideMark/>
          </w:tcPr>
          <w:p w14:paraId="3C5FAC7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 (7.4)</w:t>
            </w:r>
          </w:p>
        </w:tc>
        <w:tc>
          <w:tcPr>
            <w:tcW w:w="1394" w:type="dxa"/>
            <w:noWrap/>
            <w:vAlign w:val="center"/>
            <w:hideMark/>
          </w:tcPr>
          <w:p w14:paraId="3D67F6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855FE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66 (100%)</w:t>
            </w:r>
          </w:p>
        </w:tc>
        <w:tc>
          <w:tcPr>
            <w:tcW w:w="1394" w:type="dxa"/>
            <w:noWrap/>
            <w:vAlign w:val="center"/>
            <w:hideMark/>
          </w:tcPr>
          <w:p w14:paraId="761BCD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66 (100%)</w:t>
            </w:r>
          </w:p>
        </w:tc>
        <w:tc>
          <w:tcPr>
            <w:tcW w:w="1438" w:type="dxa"/>
            <w:noWrap/>
            <w:vAlign w:val="center"/>
            <w:hideMark/>
          </w:tcPr>
          <w:p w14:paraId="23A45365" w14:textId="1A54AE45"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mean (SD) </w:t>
            </w:r>
            <w:r w:rsidR="00A3759F" w:rsidRPr="009B66A4">
              <w:rPr>
                <w:rFonts w:ascii="Calibri" w:eastAsia="Times New Roman" w:hAnsi="Calibri" w:cs="Calibri"/>
                <w:kern w:val="0"/>
                <w:sz w:val="20"/>
                <w:szCs w:val="20"/>
                <w14:ligatures w14:val="none"/>
              </w:rPr>
              <w:t>range:</w:t>
            </w:r>
            <w:r w:rsidRPr="009B66A4">
              <w:rPr>
                <w:rFonts w:ascii="Calibri" w:eastAsia="Times New Roman" w:hAnsi="Calibri" w:cs="Calibri"/>
                <w:kern w:val="0"/>
                <w:sz w:val="20"/>
                <w:szCs w:val="20"/>
                <w14:ligatures w14:val="none"/>
              </w:rPr>
              <w:t xml:space="preserve"> 24.0 (7.6) (12–44)</w:t>
            </w:r>
          </w:p>
        </w:tc>
      </w:tr>
      <w:tr w:rsidR="00713B5E" w:rsidRPr="009B66A4" w14:paraId="6443B348" w14:textId="77777777" w:rsidTr="00A3759F">
        <w:trPr>
          <w:trHeight w:val="20"/>
        </w:trPr>
        <w:tc>
          <w:tcPr>
            <w:tcW w:w="1444" w:type="dxa"/>
            <w:noWrap/>
            <w:vAlign w:val="center"/>
            <w:hideMark/>
          </w:tcPr>
          <w:p w14:paraId="53D802E8" w14:textId="01B137B6"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Jacoby, 2022</w:t>
            </w:r>
            <w:r w:rsidR="00496C2B" w:rsidRPr="009B66A4">
              <w:rPr>
                <w:rFonts w:ascii="Calibri" w:eastAsia="Times New Roman" w:hAnsi="Calibri" w:cs="Calibri"/>
                <w:kern w:val="0"/>
                <w:sz w:val="20"/>
                <w:szCs w:val="20"/>
                <w14:ligatures w14:val="none"/>
              </w:rPr>
              <w:fldChar w:fldCharType="begin"/>
            </w:r>
            <w:r w:rsidR="003344A4" w:rsidRPr="009B66A4">
              <w:rPr>
                <w:rFonts w:ascii="Calibri" w:eastAsia="Times New Roman" w:hAnsi="Calibri" w:cs="Calibri"/>
                <w:kern w:val="0"/>
                <w:sz w:val="20"/>
                <w:szCs w:val="20"/>
                <w14:ligatures w14:val="none"/>
              </w:rPr>
              <w:instrText xml:space="preserve"> ADDIN ZOTERO_ITEM CSL_CITATION {"citationID":"euMsg2cg","properties":{"formattedCitation":"[25]","plainCitation":"[25]","noteIndex":0},"citationItems":[{"id":3388,"uris":["http://zotero.org/users/11896629/items/TMI9CE25"],"itemData":{"id":3388,"type":"article-journal","abstract":"Aim\n              To identify factors associated with quality of life (QoL) in children with intellectual disability. We aimed to identify patterns of association not observable in previous hypothesis‐driven regression modelling using the same data set from a cross‐sectional observational study.\n            \n            \n              Method\n              \n                A questionnaire was completed by 442 caregivers of children with confirmed intellectual disability and a diagnosis of autism spectrum disorder, cerebral palsy, Down syndrome, or Rett syndrome. The Quality of Life Inventory‐Disability (QI‐Disability) questionnaire was used to assess child QoL. Independent variables described the child's health, functional abilities, community participation, and sociodemographics. The R package\n                rpart\n                was used to build the regression trees.\n              \n            \n            \n              Results\n              \n                The mean total QI‐Disability score was 69.2 out of a maximum 100. The subgroup with the lowest QoL scores comprised children with a high degree of daytime sleepiness (\n                n\n                =74, mean 57.5) while the subgroup with the highest QoL scores (\n                n\n                =91, mean 80.3) comprised children with little daytime sleepiness who participated more frequently in community activities and displayed good eye contact while listening.\n              \n            \n            \n              Interpretation\n              Regression tree analysis provides insights into the relative importance of associated factors. Sleep problems and community participation were more important than functional abilities in accounting for differences in QoL.\n            \n            \n              What this paper adds\n              \n                \n                  \n                    A hypothesis‐free regression tree analysis enables examination of multiple factors potentially influencing quality of life (QoL) in children with intellectual disability.\n                  \n                  \n                    Functional abilities were less strongly associated with QoL than sleep problems and community participation.","container-title":"Developmental Medicine &amp; Child Neurology","DOI":"10.1111/dmcn.15206","ISSN":"0012-1622, 1469-8749","issue":"9","journalAbbreviation":"Develop Med Child Neuro","language":"en","page":"1145-1155","source":"DOI.org (Crossref)","title":"Modelling quality of life in children with intellectual disability using regression trees","volume":"64","author":[{"family":"Jacoby","given":"Peter"},{"family":"Williams","given":"Katrina"},{"family":"Reddihough","given":"Dinah"},{"family":"Leonard","given":"Helen"},{"family":"Whitehouse","given":"Andrew"},{"family":"Downs","given":"Jenny"}],"issued":{"date-parts":[["2022",9]]}}}],"schema":"https://github.com/citation-style-language/schema/raw/master/csl-citation.json"} </w:instrText>
            </w:r>
            <w:r w:rsidR="00496C2B" w:rsidRPr="009B66A4">
              <w:rPr>
                <w:rFonts w:ascii="Calibri" w:eastAsia="Times New Roman" w:hAnsi="Calibri" w:cs="Calibri"/>
                <w:kern w:val="0"/>
                <w:sz w:val="20"/>
                <w:szCs w:val="20"/>
                <w14:ligatures w14:val="none"/>
              </w:rPr>
              <w:fldChar w:fldCharType="separate"/>
            </w:r>
            <w:r w:rsidR="003344A4" w:rsidRPr="009B66A4">
              <w:rPr>
                <w:rFonts w:ascii="Calibri" w:hAnsi="Calibri" w:cs="Calibri"/>
                <w:sz w:val="20"/>
                <w:szCs w:val="20"/>
              </w:rPr>
              <w:t>[25]</w:t>
            </w:r>
            <w:r w:rsidR="00496C2B"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0F46F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5C71C61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3C855A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78B2C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12E919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294E42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w:t>
            </w:r>
          </w:p>
        </w:tc>
        <w:tc>
          <w:tcPr>
            <w:tcW w:w="1682" w:type="dxa"/>
            <w:vAlign w:val="center"/>
            <w:hideMark/>
          </w:tcPr>
          <w:p w14:paraId="5501041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11 years and 10 months (Range: 5 years and 2 months – 18 years and 11 months)</w:t>
            </w:r>
          </w:p>
        </w:tc>
        <w:tc>
          <w:tcPr>
            <w:tcW w:w="1394" w:type="dxa"/>
            <w:noWrap/>
            <w:vAlign w:val="center"/>
            <w:hideMark/>
          </w:tcPr>
          <w:p w14:paraId="230678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A408B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 (100%)</w:t>
            </w:r>
          </w:p>
        </w:tc>
        <w:tc>
          <w:tcPr>
            <w:tcW w:w="1394" w:type="dxa"/>
            <w:noWrap/>
            <w:vAlign w:val="center"/>
            <w:hideMark/>
          </w:tcPr>
          <w:p w14:paraId="2947471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E7F49E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93956B1" w14:textId="77777777" w:rsidTr="00A3759F">
        <w:trPr>
          <w:trHeight w:val="20"/>
        </w:trPr>
        <w:tc>
          <w:tcPr>
            <w:tcW w:w="1444" w:type="dxa"/>
            <w:noWrap/>
            <w:vAlign w:val="center"/>
            <w:hideMark/>
          </w:tcPr>
          <w:p w14:paraId="1441B51D" w14:textId="399D01F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Peron, 2022</w:t>
            </w:r>
            <w:r w:rsidR="003344A4" w:rsidRPr="009B66A4">
              <w:rPr>
                <w:rFonts w:ascii="Calibri" w:eastAsia="Times New Roman" w:hAnsi="Calibri" w:cs="Calibri"/>
                <w:kern w:val="0"/>
                <w:sz w:val="20"/>
                <w:szCs w:val="20"/>
                <w14:ligatures w14:val="none"/>
              </w:rPr>
              <w:fldChar w:fldCharType="begin"/>
            </w:r>
            <w:r w:rsidR="00930637" w:rsidRPr="009B66A4">
              <w:rPr>
                <w:rFonts w:ascii="Calibri" w:eastAsia="Times New Roman" w:hAnsi="Calibri" w:cs="Calibri"/>
                <w:kern w:val="0"/>
                <w:sz w:val="20"/>
                <w:szCs w:val="20"/>
                <w14:ligatures w14:val="none"/>
              </w:rPr>
              <w:instrText xml:space="preserve"> ADDIN ZOTERO_ITEM CSL_CITATION {"citationID":"foZwLN2C","properties":{"formattedCitation":"[26]","plainCitation":"[26]","noteIndex":0},"citationItems":[{"id":3389,"uris":["http://zotero.org/users/11896629/items/RJI9I8DX"],"itemData":{"id":3389,"type":"article-journal","abstract":"Background\n              Rett syndrome is a complex genetic disorder with age-specific manifestations and over half of the patients surviving into middle age. However, little information about the phenotype of adult individuals with Rett syndrome is available, and mainly relies on questionnaires completed by caregivers. Here, we assess the clinical manifestations and management of adult patients with Rett syndrome and present our experience in transitioning from the paediatric to the adult clinic.\n            \n            \n              Methods\n              \n                We analysed the medical records and molecular data of women aged ≥18 years with a diagnosis of classic Rett syndrome and/or pathogenic variants in\n                MECP2\n                ,\n                CDKL5\n                and\n                FOXG1\n                , who were in charge of our clinic.\n              \n            \n            \n              Results\n              Of the 50 women with classic Rett syndrome, 94% had epilepsy (26% drug-resistant), 20% showed extrapyramidal signs, 40% sleep problems and 36% behavioural disorders. Eighty-six % patients exhibited gastrointestinal problems; 70% had scoliosis and 90% low bone density. Breathing irregularities were diagnosed in 60%. None of the patients had cardiac issues. CDKL5 patients experienced fewer breathing abnormalities than women with classic Rett syndrome.\n            \n            \n              Conclusion\n              The delineation of an adult phenotype in Rett syndrome demonstrates the importance of a transitional programme and the need of a dedicated multidisciplinary team to optimise the clinical management of these patients.","container-title":"Journal of Medical Genetics","DOI":"10.1136/jmedgenet-2020-107333","ISSN":"0022-2593, 1468-6244","issue":"1","journalAbbreviation":"J Med Genet","language":"en","page":"39-45","source":"DOI.org (Crossref)","title":"Phenotypes in adult patients with Rett syndrome: results of a 13-year experience and insights into healthcare transition","title-short":"Phenotypes in adult patients with Rett syndrome","volume":"59","author":[{"family":"Peron","given":"Angela"},{"family":"Canevini","given":"Maria Paola"},{"family":"Ghelma","given":"Filippo"},{"family":"Arancio","given":"Rosangela"},{"family":"Savini","given":"Miriam Nella"},{"family":"Vignoli","given":"Aglaia"}],"issued":{"date-parts":[["2022",1]]}}}],"schema":"https://github.com/citation-style-language/schema/raw/master/csl-citation.json"} </w:instrText>
            </w:r>
            <w:r w:rsidR="003344A4" w:rsidRPr="009B66A4">
              <w:rPr>
                <w:rFonts w:ascii="Calibri" w:eastAsia="Times New Roman" w:hAnsi="Calibri" w:cs="Calibri"/>
                <w:kern w:val="0"/>
                <w:sz w:val="20"/>
                <w:szCs w:val="20"/>
                <w14:ligatures w14:val="none"/>
              </w:rPr>
              <w:fldChar w:fldCharType="separate"/>
            </w:r>
            <w:r w:rsidR="00930637" w:rsidRPr="009B66A4">
              <w:rPr>
                <w:rFonts w:ascii="Calibri" w:hAnsi="Calibri" w:cs="Calibri"/>
                <w:sz w:val="20"/>
                <w:szCs w:val="20"/>
              </w:rPr>
              <w:t>[26]</w:t>
            </w:r>
            <w:r w:rsidR="003344A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7CDD8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6F04E9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2A7815F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BEF14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DFCAF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1DEA9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w:t>
            </w:r>
          </w:p>
        </w:tc>
        <w:tc>
          <w:tcPr>
            <w:tcW w:w="1682" w:type="dxa"/>
            <w:vAlign w:val="center"/>
            <w:hideMark/>
          </w:tcPr>
          <w:p w14:paraId="362866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29 (Range: 19 – 49)</w:t>
            </w:r>
          </w:p>
        </w:tc>
        <w:tc>
          <w:tcPr>
            <w:tcW w:w="1394" w:type="dxa"/>
            <w:noWrap/>
            <w:vAlign w:val="center"/>
            <w:hideMark/>
          </w:tcPr>
          <w:p w14:paraId="46E65CB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E80BC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 (100%)</w:t>
            </w:r>
          </w:p>
        </w:tc>
        <w:tc>
          <w:tcPr>
            <w:tcW w:w="1394" w:type="dxa"/>
            <w:noWrap/>
            <w:vAlign w:val="center"/>
            <w:hideMark/>
          </w:tcPr>
          <w:p w14:paraId="7BBF7A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47 (84%)</w:t>
            </w:r>
          </w:p>
        </w:tc>
        <w:tc>
          <w:tcPr>
            <w:tcW w:w="1438" w:type="dxa"/>
            <w:noWrap/>
            <w:vAlign w:val="center"/>
            <w:hideMark/>
          </w:tcPr>
          <w:p w14:paraId="7BCFAD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82CDE8E" w14:textId="77777777" w:rsidTr="00A3759F">
        <w:trPr>
          <w:trHeight w:val="20"/>
        </w:trPr>
        <w:tc>
          <w:tcPr>
            <w:tcW w:w="1444" w:type="dxa"/>
            <w:vMerge w:val="restart"/>
            <w:noWrap/>
            <w:vAlign w:val="center"/>
            <w:hideMark/>
          </w:tcPr>
          <w:p w14:paraId="57BFA2C9" w14:textId="6908833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Buchanan, 2022</w:t>
            </w:r>
            <w:r w:rsidR="00930637" w:rsidRPr="009B66A4">
              <w:rPr>
                <w:rFonts w:ascii="Calibri" w:eastAsia="Times New Roman" w:hAnsi="Calibri" w:cs="Calibri"/>
                <w:kern w:val="0"/>
                <w:sz w:val="20"/>
                <w:szCs w:val="20"/>
                <w14:ligatures w14:val="none"/>
              </w:rPr>
              <w:fldChar w:fldCharType="begin"/>
            </w:r>
            <w:r w:rsidR="001B620F" w:rsidRPr="009B66A4">
              <w:rPr>
                <w:rFonts w:ascii="Calibri" w:eastAsia="Times New Roman" w:hAnsi="Calibri" w:cs="Calibri"/>
                <w:kern w:val="0"/>
                <w:sz w:val="20"/>
                <w:szCs w:val="20"/>
                <w14:ligatures w14:val="none"/>
              </w:rPr>
              <w:instrText xml:space="preserve"> ADDIN ZOTERO_ITEM CSL_CITATION {"citationID":"cqXSbllX","properties":{"formattedCitation":"[27]","plainCitation":"[27]","noteIndex":0},"citationItems":[{"id":3391,"uris":["http://zotero.org/users/11896629/items/CN7ZVV6Z"],"itemData":{"id":3391,"type":"article-journal","abstract":"Abstract\n            \n              Background\n              \n                Rett syndrome (RTT) is a neurodevelopmental disorder most often related to a pathogenic variant in the X-linked\n                MECP2\n                gene. Internalizing behaviors appear to be common, but standard methods of diagnosing anxiety are not readily applied in this population which typically has cognitive impairment and limited expressive language. This study aims to describe the frequency of anxiety-like behavior and anxiolytic treatments along with associated clinical features in individuals with RTT.\n              \n            \n            \n              Methods\n              Parental reports and medication logs provided data from 1380 females with RTT participating in two iterations of the multicenter U.S. RTT Natural History Study (RNHS) from 2006 to 2019.\n            \n            \n              Results\n              \n                Most participants with RTT (77.5%) had at least occasional anxious or nervous behavior. Anxiety was reported to be the most troublesome concern for 2.6%, and within the top 3 concerns for 10.0%, of participants in the second iteration. Parents directly reported treatment for anxious or nervous behavior in 16.6% of participants in the second iteration with most reporting good control of the behavior (71.6%). In the medication logs of both RNHS iterations, the indication of anxiety was listed for a similar number of participants (15% and 14.5%, respectively). Increased use of anxiolytics and selective serotonin reuptake inhibitors (SSRIs) was related to more frequent anxiety-like behaviors (\n                P\n                &lt; 0.001), older age (\n                P\n                &lt; 0.001), and mild\n                MECP2\n                variants (\n                P\n                = 0.002).\n              \n            \n            \n              Conclusion\n              \n                Anxiety-like behavior is frequent at all ages and is a significant parental concern in RTT. Older individuals and those with mild\n                MECP2\n                variants are more likely to be treated with medications. Better diagnosis and treatment of anxiety in RTT should be a goal of both future studies and clinical care.\n              \n            \n            \n              Trial registration\n              \n                NCT00299312\n                and\n                NCT02738281","container-title":"Journal of Neurodevelopmental Disorders","DOI":"10.1186/s11689-022-09432-2","ISSN":"1866-1947, 1866-1955","issue":"1","journalAbbreviation":"J Neurodevelop Disord","language":"en","page":"31","source":"DOI.org (Crossref)","title":"Anxiety-like behavior and anxiolytic treatment in the Rett syndrome natural history study","volume":"14","author":[{"family":"Buchanan","given":"Caroline B."},{"family":"Stallworth","given":"Jennifer L."},{"family":"Joy","given":"Aubin E."},{"family":"Dixon","given":"Rebekah E."},{"family":"Scott","given":"Alexandra E."},{"family":"Beisang","given":"Arthur A."},{"family":"Benke","given":"Timothy A."},{"family":"Glaze","given":"Daniel G."},{"family":"Haas","given":"Richard H."},{"family":"Heydemann","given":"Peter T."},{"family":"Jones","given":"Mary D."},{"family":"Lane","given":"Jane B."},{"family":"Lieberman","given":"David N."},{"family":"Marsh","given":"Eric D."},{"family":"Neul","given":"Jeffrey L."},{"family":"Peters","given":"Sarika U."},{"family":"Ryther","given":"Robin C."},{"family":"Skinner","given":"Steve A."},{"family":"Standridge","given":"Shannon M."},{"family":"Kaufmann","given":"Walter E."},{"family":"Percy","given":"Alan K."}],"issued":{"date-parts":[["2022",12]]}}}],"schema":"https://github.com/citation-style-language/schema/raw/master/csl-citation.json"} </w:instrText>
            </w:r>
            <w:r w:rsidR="00930637" w:rsidRPr="009B66A4">
              <w:rPr>
                <w:rFonts w:ascii="Calibri" w:eastAsia="Times New Roman" w:hAnsi="Calibri" w:cs="Calibri"/>
                <w:kern w:val="0"/>
                <w:sz w:val="20"/>
                <w:szCs w:val="20"/>
                <w14:ligatures w14:val="none"/>
              </w:rPr>
              <w:fldChar w:fldCharType="separate"/>
            </w:r>
            <w:r w:rsidR="001B620F" w:rsidRPr="009B66A4">
              <w:rPr>
                <w:rFonts w:ascii="Calibri" w:hAnsi="Calibri" w:cs="Calibri"/>
                <w:sz w:val="20"/>
                <w:szCs w:val="20"/>
              </w:rPr>
              <w:t>[27]</w:t>
            </w:r>
            <w:r w:rsidR="00930637"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6DD4D4B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18F1F0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vMerge w:val="restart"/>
            <w:noWrap/>
            <w:vAlign w:val="center"/>
            <w:hideMark/>
          </w:tcPr>
          <w:p w14:paraId="149EDEF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2DDBEED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69666A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190D938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1732</w:t>
            </w:r>
          </w:p>
        </w:tc>
        <w:tc>
          <w:tcPr>
            <w:tcW w:w="1682" w:type="dxa"/>
            <w:noWrap/>
            <w:vAlign w:val="center"/>
            <w:hideMark/>
          </w:tcPr>
          <w:p w14:paraId="38E1FAF6" w14:textId="3577A686"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Period 2006 - 2015: </w:t>
            </w:r>
            <w:r w:rsidR="00A3759F" w:rsidRPr="009B66A4">
              <w:rPr>
                <w:rFonts w:ascii="Calibri" w:eastAsia="Times New Roman" w:hAnsi="Calibri" w:cs="Calibri"/>
                <w:kern w:val="0"/>
                <w:sz w:val="20"/>
                <w:szCs w:val="20"/>
                <w14:ligatures w14:val="none"/>
              </w:rPr>
              <w:t>9.1 (</w:t>
            </w:r>
            <w:r w:rsidRPr="009B66A4">
              <w:rPr>
                <w:rFonts w:ascii="Calibri" w:eastAsia="Times New Roman" w:hAnsi="Calibri" w:cs="Calibri"/>
                <w:kern w:val="0"/>
                <w:sz w:val="20"/>
                <w:szCs w:val="20"/>
                <w14:ligatures w14:val="none"/>
              </w:rPr>
              <w:t xml:space="preserve">8.8); </w:t>
            </w:r>
          </w:p>
        </w:tc>
        <w:tc>
          <w:tcPr>
            <w:tcW w:w="1394" w:type="dxa"/>
            <w:vMerge w:val="restart"/>
            <w:noWrap/>
            <w:vAlign w:val="center"/>
            <w:hideMark/>
          </w:tcPr>
          <w:p w14:paraId="506583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617031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1732 (100%)</w:t>
            </w:r>
          </w:p>
        </w:tc>
        <w:tc>
          <w:tcPr>
            <w:tcW w:w="1394" w:type="dxa"/>
            <w:vAlign w:val="center"/>
            <w:hideMark/>
          </w:tcPr>
          <w:p w14:paraId="28368E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Period 2006 - 2015:</w:t>
            </w:r>
          </w:p>
        </w:tc>
        <w:tc>
          <w:tcPr>
            <w:tcW w:w="1438" w:type="dxa"/>
            <w:vAlign w:val="center"/>
            <w:hideMark/>
          </w:tcPr>
          <w:p w14:paraId="50153206" w14:textId="4A7ACBA3"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w:t>
            </w:r>
          </w:p>
        </w:tc>
      </w:tr>
      <w:tr w:rsidR="00A3759F" w:rsidRPr="009B66A4" w14:paraId="0641F119" w14:textId="77777777" w:rsidTr="00A3759F">
        <w:trPr>
          <w:trHeight w:val="20"/>
        </w:trPr>
        <w:tc>
          <w:tcPr>
            <w:tcW w:w="1444" w:type="dxa"/>
            <w:vMerge/>
            <w:vAlign w:val="center"/>
            <w:hideMark/>
          </w:tcPr>
          <w:p w14:paraId="4C62C74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0483B28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B64C6A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426A85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A144AF4"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478C1B2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4FB7173"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noWrap/>
            <w:vAlign w:val="center"/>
            <w:hideMark/>
          </w:tcPr>
          <w:p w14:paraId="1D3C3C65"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Period 2015 - 2019: 15.2 (10.7)</w:t>
            </w:r>
          </w:p>
        </w:tc>
        <w:tc>
          <w:tcPr>
            <w:tcW w:w="1394" w:type="dxa"/>
            <w:vMerge/>
            <w:vAlign w:val="center"/>
            <w:hideMark/>
          </w:tcPr>
          <w:p w14:paraId="2AE5AC9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81AAB5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restart"/>
            <w:vAlign w:val="center"/>
            <w:hideMark/>
          </w:tcPr>
          <w:p w14:paraId="4CD0CF62"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Mild (R133C, R294X, R306C, and</w:t>
            </w:r>
          </w:p>
          <w:p w14:paraId="422B1E70" w14:textId="103CB8A1"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C-terminal truncations): 348 (32.5%)</w:t>
            </w:r>
          </w:p>
        </w:tc>
        <w:tc>
          <w:tcPr>
            <w:tcW w:w="1438" w:type="dxa"/>
            <w:vAlign w:val="center"/>
            <w:hideMark/>
          </w:tcPr>
          <w:p w14:paraId="0B3B8AA1"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Period 2006 - 2015: 22.2 (7.8)</w:t>
            </w:r>
          </w:p>
        </w:tc>
      </w:tr>
      <w:tr w:rsidR="00A3759F" w:rsidRPr="009B66A4" w14:paraId="2087408F" w14:textId="77777777" w:rsidTr="00A3759F">
        <w:trPr>
          <w:trHeight w:val="20"/>
        </w:trPr>
        <w:tc>
          <w:tcPr>
            <w:tcW w:w="1444" w:type="dxa"/>
            <w:vMerge/>
            <w:vAlign w:val="center"/>
            <w:hideMark/>
          </w:tcPr>
          <w:p w14:paraId="2ACAFECF"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489E23EA"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5D4A43E"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9ADCF5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BF911E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D30B32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0555F5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val="restart"/>
            <w:noWrap/>
            <w:hideMark/>
          </w:tcPr>
          <w:p w14:paraId="0D80AF4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1CD0F390"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3D08E8D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45250FE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39DF19D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0985E5D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70CF453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5A9E4BB4"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05CB2F9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5EEE006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 </w:t>
            </w:r>
          </w:p>
          <w:p w14:paraId="6B92915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36368E34" w14:textId="70DE7E3C"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ign w:val="center"/>
            <w:hideMark/>
          </w:tcPr>
          <w:p w14:paraId="65FA2A5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93665E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6F122A5" w14:textId="5B50FB98" w:rsidR="00A3759F" w:rsidRPr="009B66A4" w:rsidRDefault="00A3759F" w:rsidP="00302A4B">
            <w:pPr>
              <w:spacing w:after="0" w:line="240" w:lineRule="auto"/>
              <w:jc w:val="center"/>
              <w:rPr>
                <w:rFonts w:ascii="Calibri" w:eastAsia="Times New Roman" w:hAnsi="Calibri" w:cs="Calibri"/>
                <w:kern w:val="0"/>
                <w:sz w:val="20"/>
                <w:szCs w:val="20"/>
                <w14:ligatures w14:val="none"/>
              </w:rPr>
            </w:pPr>
          </w:p>
        </w:tc>
        <w:tc>
          <w:tcPr>
            <w:tcW w:w="1438" w:type="dxa"/>
            <w:vAlign w:val="center"/>
            <w:hideMark/>
          </w:tcPr>
          <w:p w14:paraId="2BCADCD9"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Period 2015 - 2019: 23.8 (8.3)</w:t>
            </w:r>
          </w:p>
        </w:tc>
      </w:tr>
      <w:tr w:rsidR="00A3759F" w:rsidRPr="009B66A4" w14:paraId="37ACDB86" w14:textId="77777777" w:rsidTr="00885FB6">
        <w:trPr>
          <w:trHeight w:val="1390"/>
        </w:trPr>
        <w:tc>
          <w:tcPr>
            <w:tcW w:w="1444" w:type="dxa"/>
            <w:vMerge/>
            <w:vAlign w:val="center"/>
            <w:hideMark/>
          </w:tcPr>
          <w:p w14:paraId="7FC46B9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2D6152AF"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09ADC5B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A87A60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70F9F1A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FB85E9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F11DFA3"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noWrap/>
            <w:hideMark/>
          </w:tcPr>
          <w:p w14:paraId="0BBD31B5" w14:textId="5CFA4DC2"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42896C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42D996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5413C3C7"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Moderate (T158M and other</w:t>
            </w:r>
          </w:p>
          <w:p w14:paraId="7462CBF9" w14:textId="154A92A5"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point mutations): 179 (16.7%)</w:t>
            </w:r>
          </w:p>
        </w:tc>
        <w:tc>
          <w:tcPr>
            <w:tcW w:w="1438" w:type="dxa"/>
            <w:vMerge w:val="restart"/>
            <w:hideMark/>
          </w:tcPr>
          <w:p w14:paraId="757EADD3"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17DF5FF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126434C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294882D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5DD04AD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1AD3368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33DFA38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 </w:t>
            </w:r>
          </w:p>
          <w:p w14:paraId="2591144A"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49C40EB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01761074"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0D37FB35" w14:textId="2961D090"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r>
      <w:tr w:rsidR="00A3759F" w:rsidRPr="009B66A4" w14:paraId="5A45D043" w14:textId="77777777" w:rsidTr="006C1E60">
        <w:trPr>
          <w:trHeight w:val="2300"/>
        </w:trPr>
        <w:tc>
          <w:tcPr>
            <w:tcW w:w="1444" w:type="dxa"/>
            <w:vMerge/>
            <w:tcBorders>
              <w:bottom w:val="single" w:sz="4" w:space="0" w:color="auto"/>
            </w:tcBorders>
            <w:vAlign w:val="center"/>
            <w:hideMark/>
          </w:tcPr>
          <w:p w14:paraId="75473F4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tcBorders>
              <w:bottom w:val="single" w:sz="4" w:space="0" w:color="auto"/>
            </w:tcBorders>
            <w:vAlign w:val="center"/>
            <w:hideMark/>
          </w:tcPr>
          <w:p w14:paraId="4952968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tcBorders>
              <w:bottom w:val="single" w:sz="4" w:space="0" w:color="auto"/>
            </w:tcBorders>
            <w:vAlign w:val="center"/>
            <w:hideMark/>
          </w:tcPr>
          <w:p w14:paraId="0066757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tcBorders>
              <w:bottom w:val="single" w:sz="4" w:space="0" w:color="auto"/>
            </w:tcBorders>
            <w:vAlign w:val="center"/>
            <w:hideMark/>
          </w:tcPr>
          <w:p w14:paraId="75B532B0"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tcBorders>
              <w:bottom w:val="single" w:sz="4" w:space="0" w:color="auto"/>
            </w:tcBorders>
            <w:vAlign w:val="center"/>
            <w:hideMark/>
          </w:tcPr>
          <w:p w14:paraId="43668FB0"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tcBorders>
              <w:bottom w:val="single" w:sz="4" w:space="0" w:color="auto"/>
            </w:tcBorders>
            <w:vAlign w:val="center"/>
            <w:hideMark/>
          </w:tcPr>
          <w:p w14:paraId="50A31DA4"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1CB4FA1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tcBorders>
              <w:bottom w:val="single" w:sz="4" w:space="0" w:color="auto"/>
            </w:tcBorders>
            <w:noWrap/>
            <w:hideMark/>
          </w:tcPr>
          <w:p w14:paraId="65EB1234" w14:textId="4645EB9F"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06264A8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0605FDA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tcBorders>
              <w:bottom w:val="single" w:sz="4" w:space="0" w:color="auto"/>
            </w:tcBorders>
            <w:vAlign w:val="center"/>
            <w:hideMark/>
          </w:tcPr>
          <w:p w14:paraId="5B537BCA"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Severe (R106W, R168X, R255X, R270X, early truncations, large</w:t>
            </w:r>
          </w:p>
          <w:p w14:paraId="2EDFC223" w14:textId="2CC0CEBF"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deletions, and splice site): 544 (50.8%)</w:t>
            </w:r>
          </w:p>
        </w:tc>
        <w:tc>
          <w:tcPr>
            <w:tcW w:w="1438" w:type="dxa"/>
            <w:vMerge/>
            <w:tcBorders>
              <w:bottom w:val="single" w:sz="4" w:space="0" w:color="auto"/>
            </w:tcBorders>
            <w:hideMark/>
          </w:tcPr>
          <w:p w14:paraId="5927787A" w14:textId="2B165268"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A3759F" w:rsidRPr="009B66A4" w14:paraId="0356773D" w14:textId="77777777" w:rsidTr="00A3759F">
        <w:trPr>
          <w:trHeight w:val="20"/>
        </w:trPr>
        <w:tc>
          <w:tcPr>
            <w:tcW w:w="1444" w:type="dxa"/>
            <w:vMerge/>
            <w:vAlign w:val="center"/>
            <w:hideMark/>
          </w:tcPr>
          <w:p w14:paraId="098F3D0F"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726113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A6F1743"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2DC4C9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873223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3F5286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F1C7BC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noWrap/>
            <w:hideMark/>
          </w:tcPr>
          <w:p w14:paraId="42C5FC4E" w14:textId="7C060DF4"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06D02D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112EF63"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3E76776A"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Period 2015 - 2019:</w:t>
            </w:r>
          </w:p>
        </w:tc>
        <w:tc>
          <w:tcPr>
            <w:tcW w:w="1438" w:type="dxa"/>
            <w:vMerge/>
            <w:hideMark/>
          </w:tcPr>
          <w:p w14:paraId="61CFFE2A" w14:textId="4A89A080"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A3759F" w:rsidRPr="009B66A4" w14:paraId="7E712CD7" w14:textId="77777777" w:rsidTr="006C1E60">
        <w:trPr>
          <w:trHeight w:val="1380"/>
        </w:trPr>
        <w:tc>
          <w:tcPr>
            <w:tcW w:w="1444" w:type="dxa"/>
            <w:vMerge/>
            <w:tcBorders>
              <w:bottom w:val="single" w:sz="4" w:space="0" w:color="auto"/>
            </w:tcBorders>
            <w:vAlign w:val="center"/>
            <w:hideMark/>
          </w:tcPr>
          <w:p w14:paraId="27291ACE"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tcBorders>
              <w:bottom w:val="single" w:sz="4" w:space="0" w:color="auto"/>
            </w:tcBorders>
            <w:vAlign w:val="center"/>
            <w:hideMark/>
          </w:tcPr>
          <w:p w14:paraId="6EF61ACA"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tcBorders>
              <w:bottom w:val="single" w:sz="4" w:space="0" w:color="auto"/>
            </w:tcBorders>
            <w:vAlign w:val="center"/>
            <w:hideMark/>
          </w:tcPr>
          <w:p w14:paraId="726E9BEF"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tcBorders>
              <w:bottom w:val="single" w:sz="4" w:space="0" w:color="auto"/>
            </w:tcBorders>
            <w:vAlign w:val="center"/>
            <w:hideMark/>
          </w:tcPr>
          <w:p w14:paraId="1861170A"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tcBorders>
              <w:bottom w:val="single" w:sz="4" w:space="0" w:color="auto"/>
            </w:tcBorders>
            <w:vAlign w:val="center"/>
            <w:hideMark/>
          </w:tcPr>
          <w:p w14:paraId="5FBD8DCF"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tcBorders>
              <w:bottom w:val="single" w:sz="4" w:space="0" w:color="auto"/>
            </w:tcBorders>
            <w:vAlign w:val="center"/>
            <w:hideMark/>
          </w:tcPr>
          <w:p w14:paraId="05F61A5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4D5E254C"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tcBorders>
              <w:bottom w:val="single" w:sz="4" w:space="0" w:color="auto"/>
            </w:tcBorders>
            <w:noWrap/>
            <w:hideMark/>
          </w:tcPr>
          <w:p w14:paraId="2FC9A156" w14:textId="0C13986F"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653F3A14"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45A4094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tcBorders>
              <w:bottom w:val="single" w:sz="4" w:space="0" w:color="auto"/>
            </w:tcBorders>
            <w:vAlign w:val="center"/>
            <w:hideMark/>
          </w:tcPr>
          <w:p w14:paraId="43894289"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Mild (R133C, R294X, R306C, and</w:t>
            </w:r>
          </w:p>
          <w:p w14:paraId="4105A85D" w14:textId="03CA4881"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C-terminal truncations): 232 (35%)</w:t>
            </w:r>
          </w:p>
        </w:tc>
        <w:tc>
          <w:tcPr>
            <w:tcW w:w="1438" w:type="dxa"/>
            <w:vMerge/>
            <w:tcBorders>
              <w:bottom w:val="single" w:sz="4" w:space="0" w:color="auto"/>
            </w:tcBorders>
            <w:hideMark/>
          </w:tcPr>
          <w:p w14:paraId="1118C603" w14:textId="65DAE539"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A3759F" w:rsidRPr="009B66A4" w14:paraId="77F4E287" w14:textId="77777777" w:rsidTr="006C1E60">
        <w:trPr>
          <w:trHeight w:val="1380"/>
        </w:trPr>
        <w:tc>
          <w:tcPr>
            <w:tcW w:w="1444" w:type="dxa"/>
            <w:vMerge/>
            <w:tcBorders>
              <w:bottom w:val="single" w:sz="4" w:space="0" w:color="auto"/>
            </w:tcBorders>
            <w:vAlign w:val="center"/>
            <w:hideMark/>
          </w:tcPr>
          <w:p w14:paraId="7BE78D8A"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tcBorders>
              <w:bottom w:val="single" w:sz="4" w:space="0" w:color="auto"/>
            </w:tcBorders>
            <w:vAlign w:val="center"/>
            <w:hideMark/>
          </w:tcPr>
          <w:p w14:paraId="7D2DE75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tcBorders>
              <w:bottom w:val="single" w:sz="4" w:space="0" w:color="auto"/>
            </w:tcBorders>
            <w:vAlign w:val="center"/>
            <w:hideMark/>
          </w:tcPr>
          <w:p w14:paraId="65109FF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tcBorders>
              <w:bottom w:val="single" w:sz="4" w:space="0" w:color="auto"/>
            </w:tcBorders>
            <w:vAlign w:val="center"/>
            <w:hideMark/>
          </w:tcPr>
          <w:p w14:paraId="49D68D5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tcBorders>
              <w:bottom w:val="single" w:sz="4" w:space="0" w:color="auto"/>
            </w:tcBorders>
            <w:vAlign w:val="center"/>
            <w:hideMark/>
          </w:tcPr>
          <w:p w14:paraId="46F93A0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tcBorders>
              <w:bottom w:val="single" w:sz="4" w:space="0" w:color="auto"/>
            </w:tcBorders>
            <w:vAlign w:val="center"/>
            <w:hideMark/>
          </w:tcPr>
          <w:p w14:paraId="62348000"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131F6F3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tcBorders>
              <w:bottom w:val="single" w:sz="4" w:space="0" w:color="auto"/>
            </w:tcBorders>
            <w:noWrap/>
            <w:hideMark/>
          </w:tcPr>
          <w:p w14:paraId="37F999EC" w14:textId="14540D5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7D92B48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00243E9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tcBorders>
              <w:bottom w:val="single" w:sz="4" w:space="0" w:color="auto"/>
            </w:tcBorders>
            <w:vAlign w:val="center"/>
            <w:hideMark/>
          </w:tcPr>
          <w:p w14:paraId="29773D25"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Moderate (T158M and other</w:t>
            </w:r>
          </w:p>
          <w:p w14:paraId="0981EC78" w14:textId="5E717BEC"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point mutations): 113 (17%)</w:t>
            </w:r>
          </w:p>
        </w:tc>
        <w:tc>
          <w:tcPr>
            <w:tcW w:w="1438" w:type="dxa"/>
            <w:vMerge/>
            <w:tcBorders>
              <w:bottom w:val="single" w:sz="4" w:space="0" w:color="auto"/>
            </w:tcBorders>
            <w:hideMark/>
          </w:tcPr>
          <w:p w14:paraId="58596141" w14:textId="49F47E1C"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A3759F" w:rsidRPr="009B66A4" w14:paraId="54269707" w14:textId="77777777" w:rsidTr="006C1E60">
        <w:trPr>
          <w:trHeight w:val="2300"/>
        </w:trPr>
        <w:tc>
          <w:tcPr>
            <w:tcW w:w="1444" w:type="dxa"/>
            <w:vMerge/>
            <w:tcBorders>
              <w:bottom w:val="single" w:sz="4" w:space="0" w:color="auto"/>
            </w:tcBorders>
            <w:vAlign w:val="center"/>
            <w:hideMark/>
          </w:tcPr>
          <w:p w14:paraId="2109BF98"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tcBorders>
              <w:bottom w:val="single" w:sz="4" w:space="0" w:color="auto"/>
            </w:tcBorders>
            <w:vAlign w:val="center"/>
            <w:hideMark/>
          </w:tcPr>
          <w:p w14:paraId="0E07FE1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tcBorders>
              <w:bottom w:val="single" w:sz="4" w:space="0" w:color="auto"/>
            </w:tcBorders>
            <w:vAlign w:val="center"/>
            <w:hideMark/>
          </w:tcPr>
          <w:p w14:paraId="63AA8F7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tcBorders>
              <w:bottom w:val="single" w:sz="4" w:space="0" w:color="auto"/>
            </w:tcBorders>
            <w:vAlign w:val="center"/>
            <w:hideMark/>
          </w:tcPr>
          <w:p w14:paraId="214EB86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tcBorders>
              <w:bottom w:val="single" w:sz="4" w:space="0" w:color="auto"/>
            </w:tcBorders>
            <w:vAlign w:val="center"/>
            <w:hideMark/>
          </w:tcPr>
          <w:p w14:paraId="6404F7A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tcBorders>
              <w:bottom w:val="single" w:sz="4" w:space="0" w:color="auto"/>
            </w:tcBorders>
            <w:vAlign w:val="center"/>
            <w:hideMark/>
          </w:tcPr>
          <w:p w14:paraId="2D9E5A6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2EFFD26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Merge/>
            <w:tcBorders>
              <w:bottom w:val="single" w:sz="4" w:space="0" w:color="auto"/>
            </w:tcBorders>
            <w:noWrap/>
            <w:hideMark/>
          </w:tcPr>
          <w:p w14:paraId="2736915B" w14:textId="203CEC0C"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737319C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tcBorders>
              <w:bottom w:val="single" w:sz="4" w:space="0" w:color="auto"/>
            </w:tcBorders>
            <w:vAlign w:val="center"/>
            <w:hideMark/>
          </w:tcPr>
          <w:p w14:paraId="21B12A0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tcBorders>
              <w:bottom w:val="single" w:sz="4" w:space="0" w:color="auto"/>
            </w:tcBorders>
            <w:vAlign w:val="center"/>
            <w:hideMark/>
          </w:tcPr>
          <w:p w14:paraId="08EA2C8A"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  Severe (R106W, R168X, R255X, R270X, early truncations, large</w:t>
            </w:r>
          </w:p>
          <w:p w14:paraId="24A6520B" w14:textId="1ABB6C13"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deletions, and splice site): 317 (47.9%)</w:t>
            </w:r>
          </w:p>
        </w:tc>
        <w:tc>
          <w:tcPr>
            <w:tcW w:w="1438" w:type="dxa"/>
            <w:vMerge/>
            <w:tcBorders>
              <w:bottom w:val="single" w:sz="4" w:space="0" w:color="auto"/>
            </w:tcBorders>
            <w:hideMark/>
          </w:tcPr>
          <w:p w14:paraId="1BA6415F" w14:textId="387CAD86"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713B5E" w:rsidRPr="009B66A4" w14:paraId="517E19D1" w14:textId="77777777" w:rsidTr="00A3759F">
        <w:trPr>
          <w:trHeight w:val="20"/>
        </w:trPr>
        <w:tc>
          <w:tcPr>
            <w:tcW w:w="1444" w:type="dxa"/>
            <w:noWrap/>
            <w:vAlign w:val="center"/>
            <w:hideMark/>
          </w:tcPr>
          <w:p w14:paraId="7F053879" w14:textId="4A58ED5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Migliorelli, 2022</w:t>
            </w:r>
            <w:r w:rsidR="004F03F7" w:rsidRPr="009B66A4">
              <w:rPr>
                <w:rFonts w:ascii="Calibri" w:eastAsia="Times New Roman" w:hAnsi="Calibri" w:cs="Calibri"/>
                <w:kern w:val="0"/>
                <w:sz w:val="20"/>
                <w:szCs w:val="20"/>
                <w14:ligatures w14:val="none"/>
              </w:rPr>
              <w:fldChar w:fldCharType="begin"/>
            </w:r>
            <w:r w:rsidR="004F03F7" w:rsidRPr="009B66A4">
              <w:rPr>
                <w:rFonts w:ascii="Calibri" w:eastAsia="Times New Roman" w:hAnsi="Calibri" w:cs="Calibri"/>
                <w:kern w:val="0"/>
                <w:sz w:val="20"/>
                <w:szCs w:val="20"/>
                <w14:ligatures w14:val="none"/>
              </w:rPr>
              <w:instrText xml:space="preserve"> ADDIN ZOTERO_ITEM CSL_CITATION {"citationID":"3vcajXVd","properties":{"formattedCitation":"[28]","plainCitation":"[28]","noteIndex":0},"citationItems":[{"id":2922,"uris":["http://zotero.org/users/11896629/items/C45C6MXV"],"itemData":{"id":2922,"type":"article-journal","abstract":"Abstract\n            \n              Background\n              Knowledge regarding neuropsychological training in Rett syndrome (RS) is scarce. The aim of this study was to assess the outcome and the duration of the effect of cognitive stimulation on topographic electroencephalography (EEG) data in RS.\n            \n            \n              Methods\n              Twenty female children diagnosed with RS were included in the analysis. Girls with RS conducted a cognitive task using an eye‐tracker designed to evaluate access and choice skills. EEG data were acquired during the experimental procedure including two 10‐min baseline stages before and after the task. Topographical changes of several EEG spectral markers including absolute and relative powers, Brain Symmetry Index and entropy were assessed.\n            \n            \n              Results\n              Topographic significance probability maps suggested statistical decreases on delta activity and increases on beta rhythm associated with the cognitive task. Entropy increased during and after the task, likely related to more complex brain activity. A significant positive interaction was obtained between Brain Symmetry Index and age showing that the improvement of interhemispheric symmetry was higher in younger girls (5–10 years).\n            \n            \n              Conclusions\n              According to our findings, significant alterations of brain rhythms were observed during and after cognitive stimulation, suggesting that cognitive stimulation may have effects on brain activity beyond the stimulation period. Finally, our promising results also showed an increase brain symmetry that was especially relevant for the younger group. This could suggest an interaction of the eye‐tracking cognitive task; however, further studies in this field are needed to assess the relation between brain asymmetries and age.","container-title":"Journal of Intellectual Disability Research","DOI":"10.1111/jir.12902","ISSN":"0964-2633, 1365-2788","issue":"3","journalAbbreviation":"J intellect Disabil Res","language":"en","page":"213-224","source":"DOI.org (Crossref)","title":"Cognitive stimulation has potential for brain activation in individuals with Rett syndrome","volume":"66","author":[{"family":"Migliorelli","given":"C."},{"family":"Medina‐Rivera","given":"I."},{"family":"Bachiller","given":"A."},{"family":"Tost","given":"A."},{"family":"Alonso","given":"J. F."},{"family":"López‐Sala","given":"A."},{"family":"Armstrong","given":"J."},{"family":"O'Callahan","given":"M. D. M."},{"family":"Pineda","given":"M."},{"family":"Mañanas","given":"M. A."},{"family":"Romero","given":"S."},{"family":"García‐Cazorla","given":"Á."}],"issued":{"date-parts":[["2022",3]]}}}],"schema":"https://github.com/citation-style-language/schema/raw/master/csl-citation.json"} </w:instrText>
            </w:r>
            <w:r w:rsidR="004F03F7" w:rsidRPr="009B66A4">
              <w:rPr>
                <w:rFonts w:ascii="Calibri" w:eastAsia="Times New Roman" w:hAnsi="Calibri" w:cs="Calibri"/>
                <w:kern w:val="0"/>
                <w:sz w:val="20"/>
                <w:szCs w:val="20"/>
                <w14:ligatures w14:val="none"/>
              </w:rPr>
              <w:fldChar w:fldCharType="separate"/>
            </w:r>
            <w:r w:rsidR="004F03F7" w:rsidRPr="009B66A4">
              <w:rPr>
                <w:rFonts w:ascii="Calibri" w:hAnsi="Calibri" w:cs="Calibri"/>
                <w:sz w:val="20"/>
                <w:szCs w:val="20"/>
              </w:rPr>
              <w:t>[28]</w:t>
            </w:r>
            <w:r w:rsidR="004F03F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65469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Spain</w:t>
            </w:r>
          </w:p>
        </w:tc>
        <w:tc>
          <w:tcPr>
            <w:tcW w:w="1316" w:type="dxa"/>
            <w:noWrap/>
            <w:vAlign w:val="center"/>
            <w:hideMark/>
          </w:tcPr>
          <w:p w14:paraId="6F6F84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2445B98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1EB7E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25A5A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F44F4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30</w:t>
            </w:r>
          </w:p>
        </w:tc>
        <w:tc>
          <w:tcPr>
            <w:tcW w:w="1682" w:type="dxa"/>
            <w:noWrap/>
            <w:vAlign w:val="center"/>
            <w:hideMark/>
          </w:tcPr>
          <w:p w14:paraId="536F8AF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11.48</w:t>
            </w:r>
          </w:p>
        </w:tc>
        <w:tc>
          <w:tcPr>
            <w:tcW w:w="1394" w:type="dxa"/>
            <w:noWrap/>
            <w:vAlign w:val="center"/>
            <w:hideMark/>
          </w:tcPr>
          <w:p w14:paraId="7932748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FAC45B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30 (100%)</w:t>
            </w:r>
          </w:p>
        </w:tc>
        <w:tc>
          <w:tcPr>
            <w:tcW w:w="1394" w:type="dxa"/>
            <w:noWrap/>
            <w:vAlign w:val="center"/>
            <w:hideMark/>
          </w:tcPr>
          <w:p w14:paraId="2EFC4B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FEC90D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A663810" w14:textId="77777777" w:rsidTr="00A3759F">
        <w:trPr>
          <w:trHeight w:val="20"/>
        </w:trPr>
        <w:tc>
          <w:tcPr>
            <w:tcW w:w="1444" w:type="dxa"/>
            <w:noWrap/>
            <w:vAlign w:val="center"/>
            <w:hideMark/>
          </w:tcPr>
          <w:p w14:paraId="6DB15538" w14:textId="1DF772F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Lai, 2022</w:t>
            </w:r>
            <w:r w:rsidR="004F03F7" w:rsidRPr="009B66A4">
              <w:rPr>
                <w:rFonts w:ascii="Calibri" w:eastAsia="Times New Roman" w:hAnsi="Calibri" w:cs="Calibri"/>
                <w:kern w:val="0"/>
                <w:sz w:val="20"/>
                <w:szCs w:val="20"/>
                <w14:ligatures w14:val="none"/>
              </w:rPr>
              <w:fldChar w:fldCharType="begin"/>
            </w:r>
            <w:r w:rsidR="00E87B65" w:rsidRPr="009B66A4">
              <w:rPr>
                <w:rFonts w:ascii="Calibri" w:eastAsia="Times New Roman" w:hAnsi="Calibri" w:cs="Calibri"/>
                <w:kern w:val="0"/>
                <w:sz w:val="20"/>
                <w:szCs w:val="20"/>
                <w14:ligatures w14:val="none"/>
              </w:rPr>
              <w:instrText xml:space="preserve"> ADDIN ZOTERO_ITEM CSL_CITATION {"citationID":"zsT0ckTo","properties":{"formattedCitation":"[29]","plainCitation":"[29]","noteIndex":0},"citationItems":[{"id":3393,"uris":["http://zotero.org/users/11896629/items/RB78YBIR"],"itemData":{"id":3393,"type":"article-journal","abstract":"Abstract\n            \n              Aims\n              Intellectual and developmental disabilities are heterogeneous in aetiology and presentation, and one cannot make assumptions about the oral health barriers of those with Rett syndrome (RTT) based on findings from generic studies. This study investigated caregivers’ perceptions regarding access to dental care for those with (RTT), and associations of dental treatments received by those with RTT with their caregivers’ perceived value of oral health and perception of their own as well as their daughter's dental anxiety.\n            \n            \n              Methods and results\n              \n                Retrospective observational data of a subset of individuals with confirmed\n                MECP2\n                mutations in the\n                InterRett\n                database (\n                n\n                 = 216) were used to explore caregiver‐related factors and their relationships with longitudinal data on dental service utilisation, using negative binomial regression. The main reported barriers to dental care access for individuals with RTT were primarily dentist‐related in nature, regardless of dental service history. Those with reported dental nonattendance were of older age. Increasing levels of caregiver‐reported dental fear were associated with less frequent dental check‐ups or for any appointments for affected individuals.\n              \n            \n            \n              Conclusions\n              Dentist‐related barriers and caregiver‐reported anxiety may both adversely affect dental attendance for those with RTT. Future research should explore caregivers’ beliefs and oral health literacy.","container-title":"Special Care in Dentistry","DOI":"10.1111/scd.12712","ISSN":"0275-1879, 1754-4505","issue":"6","journalAbbreviation":"Special Care in Dentistry","language":"en","page":"565-574","source":"DOI.org (Crossref)","title":"Enablers and barriers in dental attendance in Rett syndrome: an international observational study","title-short":"Enablers and barriers in dental attendance in Rett syndrome","volume":"42","author":[{"family":"Lai","given":"Yvonne Yee Lok"},{"family":"Downs","given":"Jenny Anne"},{"family":"Wong","given":"Kingsley"},{"family":"Zafar","given":"Sobia"},{"family":"Walsh","given":"Laurence James"},{"family":"Leonard","given":"Helen Margaret"}],"issued":{"date-parts":[["2022",11]]}}}],"schema":"https://github.com/citation-style-language/schema/raw/master/csl-citation.json"} </w:instrText>
            </w:r>
            <w:r w:rsidR="004F03F7" w:rsidRPr="009B66A4">
              <w:rPr>
                <w:rFonts w:ascii="Calibri" w:eastAsia="Times New Roman" w:hAnsi="Calibri" w:cs="Calibri"/>
                <w:kern w:val="0"/>
                <w:sz w:val="20"/>
                <w:szCs w:val="20"/>
                <w14:ligatures w14:val="none"/>
              </w:rPr>
              <w:fldChar w:fldCharType="separate"/>
            </w:r>
            <w:r w:rsidR="00E87B65" w:rsidRPr="009B66A4">
              <w:rPr>
                <w:rFonts w:ascii="Calibri" w:hAnsi="Calibri" w:cs="Calibri"/>
                <w:sz w:val="20"/>
                <w:szCs w:val="20"/>
              </w:rPr>
              <w:t>[29]</w:t>
            </w:r>
            <w:r w:rsidR="004F03F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71F2D9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122406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0B2D06A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96520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79684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4575C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w:t>
            </w:r>
          </w:p>
        </w:tc>
        <w:tc>
          <w:tcPr>
            <w:tcW w:w="1682" w:type="dxa"/>
            <w:noWrap/>
            <w:vAlign w:val="center"/>
            <w:hideMark/>
          </w:tcPr>
          <w:p w14:paraId="2694A4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20.5 (9.5)</w:t>
            </w:r>
          </w:p>
        </w:tc>
        <w:tc>
          <w:tcPr>
            <w:tcW w:w="1394" w:type="dxa"/>
            <w:noWrap/>
            <w:vAlign w:val="center"/>
            <w:hideMark/>
          </w:tcPr>
          <w:p w14:paraId="2F73AE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4000F1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 (100%)</w:t>
            </w:r>
          </w:p>
        </w:tc>
        <w:tc>
          <w:tcPr>
            <w:tcW w:w="1394" w:type="dxa"/>
            <w:noWrap/>
            <w:vAlign w:val="center"/>
            <w:hideMark/>
          </w:tcPr>
          <w:p w14:paraId="114FB7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3A473F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EF3CDE8" w14:textId="77777777" w:rsidTr="00A3759F">
        <w:trPr>
          <w:trHeight w:val="20"/>
        </w:trPr>
        <w:tc>
          <w:tcPr>
            <w:tcW w:w="1444" w:type="dxa"/>
            <w:noWrap/>
            <w:vAlign w:val="center"/>
            <w:hideMark/>
          </w:tcPr>
          <w:p w14:paraId="1E81B34D" w14:textId="59BD25B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Bisgaard, 2021</w:t>
            </w:r>
            <w:r w:rsidR="00E87B65" w:rsidRPr="009B66A4">
              <w:rPr>
                <w:rFonts w:ascii="Calibri" w:eastAsia="Times New Roman" w:hAnsi="Calibri" w:cs="Calibri"/>
                <w:kern w:val="0"/>
                <w:sz w:val="20"/>
                <w:szCs w:val="20"/>
                <w14:ligatures w14:val="none"/>
              </w:rPr>
              <w:fldChar w:fldCharType="begin"/>
            </w:r>
            <w:r w:rsidR="00537D6D" w:rsidRPr="009B66A4">
              <w:rPr>
                <w:rFonts w:ascii="Calibri" w:eastAsia="Times New Roman" w:hAnsi="Calibri" w:cs="Calibri"/>
                <w:kern w:val="0"/>
                <w:sz w:val="20"/>
                <w:szCs w:val="20"/>
                <w14:ligatures w14:val="none"/>
              </w:rPr>
              <w:instrText xml:space="preserve"> ADDIN ZOTERO_ITEM CSL_CITATION {"citationID":"mnORTNwO","properties":{"formattedCitation":"[30]","plainCitation":"[30]","noteIndex":0},"citationItems":[{"id":3394,"uris":["http://zotero.org/users/11896629/items/WTRNLMYV"],"itemData":{"id":3394,"type":"article-journal","abstract":"Abstract\n            Longevity of individuals with neurodevelopmental diseases as Rett syndrome (RTT) has increased and many reach adulthood and old age. There is therefore a need to increase knowledge about the course of RTT in adults in order to improve medical care management and quality of life. We did a longitudinal study to address if a possible decline in motor skills in adults with RTT can be explained by the presence of common medical conditions as epilepsy, breathing disturbance, and scoliosis. Data from the Danish RTT database, medical files, and videos from visits at the national Center for Rett syndrome were reviewed. The study included 24 individuals aged 30–66 years at last visit after a follow‐up period of 6–12 years. Results showed a clinically observable and significant decline in gross motor skills using the Rett syndrome Gross Motor Scale (RSGMS) with a tendency of less decline in the individuals with the best motor abilities. The frequencies of comorbidities were high. Decline in RSGMS score was associated with the presence of epilepsy and severe scoliosis that had been conservatively managed. The results emphasize that epilepsy plays a significant role in the adult RTT life and management of severe scoliosis in the younger years has impact on the motor abilities in adulthood.","container-title":"American Journal of Medical Genetics Part A","DOI":"10.1002/ajmg.a.62429","ISSN":"1552-4825, 1552-4833","issue":"12","journalAbbreviation":"American J of Med Genetics Pt A","language":"en","page":"3683-3693","source":"DOI.org (Crossref)","title":"Decline in gross motor skills in adult Rett syndrome; results from a Danish longitudinal study","volume":"185","author":[{"family":"Bisgaard","given":"Anne‐Marie"},{"family":"Wong","given":"Kingsley"},{"family":"Højfeldt","given":"Anne‐Katrine"},{"family":"Larsen","given":"Jane Lunding"},{"family":"Schönewolf‐Greulich","given":"Bitten"},{"family":"Rønde","given":"Gitte"},{"family":"Downs","given":"Jenny"},{"family":"Stahlhut","given":"Michelle"}],"issued":{"date-parts":[["2021",12]]}}}],"schema":"https://github.com/citation-style-language/schema/raw/master/csl-citation.json"} </w:instrText>
            </w:r>
            <w:r w:rsidR="00E87B65" w:rsidRPr="009B66A4">
              <w:rPr>
                <w:rFonts w:ascii="Calibri" w:eastAsia="Times New Roman" w:hAnsi="Calibri" w:cs="Calibri"/>
                <w:kern w:val="0"/>
                <w:sz w:val="20"/>
                <w:szCs w:val="20"/>
                <w14:ligatures w14:val="none"/>
              </w:rPr>
              <w:fldChar w:fldCharType="separate"/>
            </w:r>
            <w:r w:rsidR="00537D6D" w:rsidRPr="009B66A4">
              <w:rPr>
                <w:rFonts w:ascii="Calibri" w:hAnsi="Calibri" w:cs="Calibri"/>
                <w:sz w:val="20"/>
                <w:szCs w:val="20"/>
              </w:rPr>
              <w:t>[30]</w:t>
            </w:r>
            <w:r w:rsidR="00E87B65"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0C8639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Denmark</w:t>
            </w:r>
          </w:p>
        </w:tc>
        <w:tc>
          <w:tcPr>
            <w:tcW w:w="1316" w:type="dxa"/>
            <w:noWrap/>
            <w:vAlign w:val="center"/>
            <w:hideMark/>
          </w:tcPr>
          <w:p w14:paraId="52A28B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40D444D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A617D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92942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EF720F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w:t>
            </w:r>
          </w:p>
        </w:tc>
        <w:tc>
          <w:tcPr>
            <w:tcW w:w="1682" w:type="dxa"/>
            <w:vAlign w:val="center"/>
            <w:hideMark/>
          </w:tcPr>
          <w:p w14:paraId="29B816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34.3 (8.1)</w:t>
            </w:r>
          </w:p>
        </w:tc>
        <w:tc>
          <w:tcPr>
            <w:tcW w:w="1394" w:type="dxa"/>
            <w:noWrap/>
            <w:vAlign w:val="center"/>
            <w:hideMark/>
          </w:tcPr>
          <w:p w14:paraId="1642CDA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1BD8C4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 (100%)</w:t>
            </w:r>
          </w:p>
        </w:tc>
        <w:tc>
          <w:tcPr>
            <w:tcW w:w="1394" w:type="dxa"/>
            <w:vAlign w:val="center"/>
            <w:hideMark/>
          </w:tcPr>
          <w:p w14:paraId="6608A8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 (100%)</w:t>
            </w:r>
          </w:p>
        </w:tc>
        <w:tc>
          <w:tcPr>
            <w:tcW w:w="1438" w:type="dxa"/>
            <w:vAlign w:val="center"/>
            <w:hideMark/>
          </w:tcPr>
          <w:p w14:paraId="7532F5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RSGMS, mean (SD): 29.6 (11.5)</w:t>
            </w:r>
          </w:p>
        </w:tc>
      </w:tr>
      <w:tr w:rsidR="00713B5E" w:rsidRPr="009B66A4" w14:paraId="6C7553BE" w14:textId="77777777" w:rsidTr="00A3759F">
        <w:trPr>
          <w:trHeight w:val="20"/>
        </w:trPr>
        <w:tc>
          <w:tcPr>
            <w:tcW w:w="1444" w:type="dxa"/>
            <w:noWrap/>
            <w:vAlign w:val="center"/>
            <w:hideMark/>
          </w:tcPr>
          <w:p w14:paraId="2A2F171F" w14:textId="2947E066"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Gualniera, 2021</w:t>
            </w:r>
            <w:r w:rsidR="00537D6D" w:rsidRPr="009B66A4">
              <w:rPr>
                <w:rFonts w:ascii="Calibri" w:eastAsia="Times New Roman" w:hAnsi="Calibri" w:cs="Calibri"/>
                <w:kern w:val="0"/>
                <w:sz w:val="20"/>
                <w:szCs w:val="20"/>
                <w14:ligatures w14:val="none"/>
              </w:rPr>
              <w:fldChar w:fldCharType="begin"/>
            </w:r>
            <w:r w:rsidR="006938E4" w:rsidRPr="009B66A4">
              <w:rPr>
                <w:rFonts w:ascii="Calibri" w:eastAsia="Times New Roman" w:hAnsi="Calibri" w:cs="Calibri"/>
                <w:kern w:val="0"/>
                <w:sz w:val="20"/>
                <w:szCs w:val="20"/>
                <w14:ligatures w14:val="none"/>
              </w:rPr>
              <w:instrText xml:space="preserve"> ADDIN ZOTERO_ITEM CSL_CITATION {"citationID":"3DJry7BQ","properties":{"formattedCitation":"[31]","plainCitation":"[31]","noteIndex":0},"citationItems":[{"id":3395,"uris":["http://zotero.org/users/11896629/items/TNI9BGFB"],"itemData":{"id":3395,"type":"article-journal","container-title":"Journal of Psychiatric Research","DOI":"10.1016/j.jpsychires.2021.03.052","ISSN":"00223956","journalAbbreviation":"Journal of Psychiatric Research","language":"en","page":"186-193","source":"DOI.org (Crossref)","title":"Emotional Behavioural and Autonomic Dysregulation (EBAD) in Rett Syndrome – EDA and HRV monitoring using wearable sensor technology","volume":"138","author":[{"family":"Gualniera","given":"Ludovica"},{"family":"Singh","given":"Jatinder"},{"family":"Fiori","given":"Federico"},{"family":"Santosh","given":"Paramala"}],"issued":{"date-parts":[["2021",6]]}}}],"schema":"https://github.com/citation-style-language/schema/raw/master/csl-citation.json"} </w:instrText>
            </w:r>
            <w:r w:rsidR="00537D6D" w:rsidRPr="009B66A4">
              <w:rPr>
                <w:rFonts w:ascii="Calibri" w:eastAsia="Times New Roman" w:hAnsi="Calibri" w:cs="Calibri"/>
                <w:kern w:val="0"/>
                <w:sz w:val="20"/>
                <w:szCs w:val="20"/>
                <w14:ligatures w14:val="none"/>
              </w:rPr>
              <w:fldChar w:fldCharType="separate"/>
            </w:r>
            <w:r w:rsidR="006938E4" w:rsidRPr="009B66A4">
              <w:rPr>
                <w:rFonts w:ascii="Calibri" w:hAnsi="Calibri" w:cs="Calibri"/>
                <w:sz w:val="20"/>
                <w:szCs w:val="20"/>
              </w:rPr>
              <w:t>[31]</w:t>
            </w:r>
            <w:r w:rsidR="00537D6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B96D1E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noWrap/>
            <w:vAlign w:val="center"/>
            <w:hideMark/>
          </w:tcPr>
          <w:p w14:paraId="1400973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75B5E74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E7687E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472" w:type="dxa"/>
            <w:vAlign w:val="center"/>
            <w:hideMark/>
          </w:tcPr>
          <w:p w14:paraId="04478A9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79CCA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w:t>
            </w:r>
          </w:p>
        </w:tc>
        <w:tc>
          <w:tcPr>
            <w:tcW w:w="1682" w:type="dxa"/>
            <w:noWrap/>
            <w:vAlign w:val="center"/>
            <w:hideMark/>
          </w:tcPr>
          <w:p w14:paraId="65107B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11.87 (4.97)</w:t>
            </w:r>
          </w:p>
        </w:tc>
        <w:tc>
          <w:tcPr>
            <w:tcW w:w="1394" w:type="dxa"/>
            <w:noWrap/>
            <w:vAlign w:val="center"/>
            <w:hideMark/>
          </w:tcPr>
          <w:p w14:paraId="4457B9D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480C6F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394" w:type="dxa"/>
            <w:noWrap/>
            <w:vAlign w:val="center"/>
            <w:hideMark/>
          </w:tcPr>
          <w:p w14:paraId="0B5DE0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B796D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7D35258" w14:textId="77777777" w:rsidTr="00A3759F">
        <w:trPr>
          <w:trHeight w:val="20"/>
        </w:trPr>
        <w:tc>
          <w:tcPr>
            <w:tcW w:w="1444" w:type="dxa"/>
            <w:noWrap/>
            <w:vAlign w:val="center"/>
            <w:hideMark/>
          </w:tcPr>
          <w:p w14:paraId="6C1A81CD" w14:textId="7E35C35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Mendoza, 2021</w:t>
            </w:r>
            <w:r w:rsidR="006938E4" w:rsidRPr="009B66A4">
              <w:rPr>
                <w:rFonts w:ascii="Calibri" w:eastAsia="Times New Roman" w:hAnsi="Calibri" w:cs="Calibri"/>
                <w:kern w:val="0"/>
                <w:sz w:val="20"/>
                <w:szCs w:val="20"/>
                <w14:ligatures w14:val="none"/>
              </w:rPr>
              <w:fldChar w:fldCharType="begin"/>
            </w:r>
            <w:r w:rsidR="00845307" w:rsidRPr="009B66A4">
              <w:rPr>
                <w:rFonts w:ascii="Calibri" w:eastAsia="Times New Roman" w:hAnsi="Calibri" w:cs="Calibri"/>
                <w:kern w:val="0"/>
                <w:sz w:val="20"/>
                <w:szCs w:val="20"/>
                <w14:ligatures w14:val="none"/>
              </w:rPr>
              <w:instrText xml:space="preserve"> ADDIN ZOTERO_ITEM CSL_CITATION {"citationID":"kPSGtKuI","properties":{"formattedCitation":"[32]","plainCitation":"[32]","noteIndex":0},"citationItems":[{"id":3396,"uris":["http://zotero.org/users/11896629/items/KFI25TLJ"],"itemData":{"id":3396,"type":"article-journal","abstract":"Background\n              Rett syndrome is a genetically caused neurodevelopmental disorder associated with functional deficits and comorbidities. This study investigated relationships between genotype, functional abilities and comorbidities and quality of life in Rett syndrome.\n            \n            \n              Methods\n              The International Rett Syndrome Database, InterRett, was used as a sampling frame for this observational study. Information was collected to describe functional abilities (walking and feeding), health (Sleep Disorder Scale for Children, the Rett Syndrome Behavioural Questionnaire), parental health (12-item Short Form Health Survey) sociodemographic factors (parental employment and education) and quality of life (Quality of Life Inventory-Disability) for 210 individuals with Rett syndrome. Univariate and multivariate regressions were used to analyse the relationships between the independent variables and quality of life.\n            \n            \n              Results\n              Compared with individuals with the p.Arg270* mutation, those with the p.Arg294* mutation type had the poorest quality of life (coeff −12.81, 95% CI –23.49 to 2.12), despite this being recognised as a clinically milder genotype. Overall better walking and feeding skills and seizure parameters were more associated with better quality of life and poor sleep and behavioural difficulties with poorer quality of life.\n            \n            \n              Conclusions\n              These findings suggest that genotype, functioning and health each have implications for quality of life and should be considered when counselling families and planning clinical and support management strategies.","container-title":"Journal of Medical Genetics","DOI":"10.1136/jmedgenet-2020-107120","ISSN":"0022-2593, 1468-6244","issue":"9","journalAbbreviation":"J Med Genet","language":"en","page":"637-644","source":"DOI.org (Crossref)","title":"Determinants of quality of life in Rett syndrome: new findings on associations with genotype","title-short":"Determinants of quality of life in Rett syndrome","volume":"58","author":[{"family":"Mendoza","given":"Jonathan"},{"family":"Downs","given":"Jenny"},{"family":"Wong","given":"Kingsley"},{"family":"Leonard","given":"Helen"}],"issued":{"date-parts":[["2021",9]]}}}],"schema":"https://github.com/citation-style-language/schema/raw/master/csl-citation.json"} </w:instrText>
            </w:r>
            <w:r w:rsidR="006938E4" w:rsidRPr="009B66A4">
              <w:rPr>
                <w:rFonts w:ascii="Calibri" w:eastAsia="Times New Roman" w:hAnsi="Calibri" w:cs="Calibri"/>
                <w:kern w:val="0"/>
                <w:sz w:val="20"/>
                <w:szCs w:val="20"/>
                <w14:ligatures w14:val="none"/>
              </w:rPr>
              <w:fldChar w:fldCharType="separate"/>
            </w:r>
            <w:r w:rsidR="00845307" w:rsidRPr="009B66A4">
              <w:rPr>
                <w:rFonts w:ascii="Calibri" w:hAnsi="Calibri" w:cs="Calibri"/>
                <w:sz w:val="20"/>
                <w:szCs w:val="20"/>
              </w:rPr>
              <w:t>[32]</w:t>
            </w:r>
            <w:r w:rsidR="006938E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FF297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28A41CC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3AEFC42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B459E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8D7EE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EDC297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210</w:t>
            </w:r>
          </w:p>
        </w:tc>
        <w:tc>
          <w:tcPr>
            <w:tcW w:w="1682" w:type="dxa"/>
            <w:vAlign w:val="center"/>
            <w:hideMark/>
          </w:tcPr>
          <w:p w14:paraId="0F2FFC7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18 years and 2 months (Range: 6 – 51 years)</w:t>
            </w:r>
          </w:p>
        </w:tc>
        <w:tc>
          <w:tcPr>
            <w:tcW w:w="1394" w:type="dxa"/>
            <w:noWrap/>
            <w:vAlign w:val="center"/>
            <w:hideMark/>
          </w:tcPr>
          <w:p w14:paraId="3EF474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3154A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2DF9A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210 (100%)</w:t>
            </w:r>
          </w:p>
        </w:tc>
        <w:tc>
          <w:tcPr>
            <w:tcW w:w="1438" w:type="dxa"/>
            <w:noWrap/>
            <w:vAlign w:val="center"/>
            <w:hideMark/>
          </w:tcPr>
          <w:p w14:paraId="773358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B7E1EE9" w14:textId="77777777" w:rsidTr="00A3759F">
        <w:trPr>
          <w:trHeight w:val="20"/>
        </w:trPr>
        <w:tc>
          <w:tcPr>
            <w:tcW w:w="1444" w:type="dxa"/>
            <w:noWrap/>
            <w:vAlign w:val="center"/>
            <w:hideMark/>
          </w:tcPr>
          <w:p w14:paraId="510AB53C" w14:textId="5E764A7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Gilbertson, 2021</w:t>
            </w:r>
            <w:r w:rsidR="00845307" w:rsidRPr="009B66A4">
              <w:rPr>
                <w:rFonts w:ascii="Calibri" w:eastAsia="Times New Roman" w:hAnsi="Calibri" w:cs="Calibri"/>
                <w:kern w:val="0"/>
                <w:sz w:val="20"/>
                <w:szCs w:val="20"/>
                <w14:ligatures w14:val="none"/>
              </w:rPr>
              <w:fldChar w:fldCharType="begin"/>
            </w:r>
            <w:r w:rsidR="00845307" w:rsidRPr="009B66A4">
              <w:rPr>
                <w:rFonts w:ascii="Calibri" w:eastAsia="Times New Roman" w:hAnsi="Calibri" w:cs="Calibri"/>
                <w:kern w:val="0"/>
                <w:sz w:val="20"/>
                <w:szCs w:val="20"/>
                <w14:ligatures w14:val="none"/>
              </w:rPr>
              <w:instrText xml:space="preserve"> ADDIN ZOTERO_ITEM CSL_CITATION {"citationID":"ZoiOHm3t","properties":{"formattedCitation":"[33]","plainCitation":"[33]","noteIndex":0},"citationItems":[{"id":3317,"uris":["http://zotero.org/users/11896629/items/HVVQCQW9"],"itemData":{"id":3317,"type":"article-journal","abstract":"Summary\n            Children with intellectual disabilities are more likely to experience sleep disorders of insomnia, excessive daytime sleepiness and sleep breathing disorders than typically developing children. The present study examined risk factors for these sleep disorders in 447 children (aged 5–18 years), diagnosed with an intellectual disability and comorbid autism spectrum disorder, cerebral palsy, Down syndrome or Rett syndrome. Primary caregivers reported on their child’s sleep using the Sleep Disturbance Scale for Children (SDSC), as well as medical comorbidities and functional abilities. Multivariate linear and logistic regressions were used to examine the effects of these factors on SDSC t scores and a binary indicator, respectively for the relevant subscales. Receiving operating characteristic curves were generated for each logistic regression model to determine their ability to discriminate between poor and good sleep. Comorbidities rather than functional abilities were associated with poorer sleep. In particular, recurrent pain, frequent seizures, frequent coughing, constipation and prescription of sleep medications were associated with abnormal sleep across the entire sample, but predictors differed between diagnostic groups. The present study suggests that comorbidities are more strongly associated with quality of sleep than functional impairments. The present study provides new information on potential associations between frequent coughing, prescription sleep medications and sleep quality that should be further investigated.","container-title":"Journal of Sleep Research","DOI":"10.1111/jsr.13361","ISSN":"0962-1105, 1365-2869","issue":"5","journalAbbreviation":"Journal of Sleep Research","language":"en","page":"e13361","source":"DOI.org (Crossref)","title":"Determinants of sleep problems in children with intellectual disability","volume":"30","author":[{"family":"Gilbertson","given":"Melissa"},{"family":"Richardson","given":"Cele"},{"family":"Eastwood","given":"Peter"},{"family":"Wilson","given":"Andrew"},{"family":"Jacoby","given":"Peter"},{"family":"Leonard","given":"Helen"},{"family":"Downs","given":"Jenny"}],"issued":{"date-parts":[["2021",10]]}}}],"schema":"https://github.com/citation-style-language/schema/raw/master/csl-citation.json"} </w:instrText>
            </w:r>
            <w:r w:rsidR="00845307" w:rsidRPr="009B66A4">
              <w:rPr>
                <w:rFonts w:ascii="Calibri" w:eastAsia="Times New Roman" w:hAnsi="Calibri" w:cs="Calibri"/>
                <w:kern w:val="0"/>
                <w:sz w:val="20"/>
                <w:szCs w:val="20"/>
                <w14:ligatures w14:val="none"/>
              </w:rPr>
              <w:fldChar w:fldCharType="separate"/>
            </w:r>
            <w:r w:rsidR="00845307" w:rsidRPr="009B66A4">
              <w:rPr>
                <w:rFonts w:ascii="Calibri" w:hAnsi="Calibri" w:cs="Calibri"/>
                <w:sz w:val="20"/>
                <w:szCs w:val="20"/>
              </w:rPr>
              <w:t>[33]</w:t>
            </w:r>
            <w:r w:rsidR="0084530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2D7B2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47ECEA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66DA43E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E6C45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AA56DC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772A8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w:t>
            </w:r>
          </w:p>
        </w:tc>
        <w:tc>
          <w:tcPr>
            <w:tcW w:w="1682" w:type="dxa"/>
            <w:vAlign w:val="center"/>
            <w:hideMark/>
          </w:tcPr>
          <w:p w14:paraId="44B4D5D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87C43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24830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 (100%)</w:t>
            </w:r>
          </w:p>
        </w:tc>
        <w:tc>
          <w:tcPr>
            <w:tcW w:w="1394" w:type="dxa"/>
            <w:noWrap/>
            <w:vAlign w:val="center"/>
            <w:hideMark/>
          </w:tcPr>
          <w:p w14:paraId="26801D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BF61B3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E750E63" w14:textId="77777777" w:rsidTr="00A3759F">
        <w:trPr>
          <w:trHeight w:val="20"/>
        </w:trPr>
        <w:tc>
          <w:tcPr>
            <w:tcW w:w="1444" w:type="dxa"/>
            <w:noWrap/>
            <w:vAlign w:val="center"/>
            <w:hideMark/>
          </w:tcPr>
          <w:p w14:paraId="4074B101" w14:textId="762715D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Rozensztrauch, 2021</w:t>
            </w:r>
            <w:r w:rsidR="00845307" w:rsidRPr="009B66A4">
              <w:rPr>
                <w:rFonts w:ascii="Calibri" w:eastAsia="Times New Roman" w:hAnsi="Calibri" w:cs="Calibri"/>
                <w:kern w:val="0"/>
                <w:sz w:val="20"/>
                <w:szCs w:val="20"/>
                <w14:ligatures w14:val="none"/>
              </w:rPr>
              <w:fldChar w:fldCharType="begin"/>
            </w:r>
            <w:r w:rsidR="00845307" w:rsidRPr="009B66A4">
              <w:rPr>
                <w:rFonts w:ascii="Calibri" w:eastAsia="Times New Roman" w:hAnsi="Calibri" w:cs="Calibri"/>
                <w:kern w:val="0"/>
                <w:sz w:val="20"/>
                <w:szCs w:val="20"/>
                <w14:ligatures w14:val="none"/>
              </w:rPr>
              <w:instrText xml:space="preserve"> ADDIN ZOTERO_ITEM CSL_CITATION {"citationID":"gE6Z33NG","properties":{"formattedCitation":"[34]","plainCitation":"[34]","noteIndex":0},"citationItems":[{"id":2901,"uris":["http://zotero.org/users/11896629/items/3XBFURJJ"],"itemData":{"id":2901,"type":"article-journal","abstract":"Objective\n              Rett syndrome (RTT) is a chronic condition that manifest in young children, with concomitant comorbidities such as respiratory problems, scoliosis, epilepsy, and malnutrition, which may affect children’s quality of life (QoL) and family functioning. The objective of this cross-sectional descriptive correlation study was to understand the clinical presentation of RTT in relation to QoL and family functioning.\n            \n            \n              Methods\n              We included 23 parents of children with RTT. In this study, we used the PedsQL™ Family Impact Module, the Pediatric Quality of Life Inventory 4.0 generic core scales (PedsQL™ 4.0), and an author-designed questionnaire to assess QoL and family functioning.\n            \n            \n              Results\n              A significant relationship was observed between PedsQL™ 4.0 score and child’s age in the physical functioning dimension. Children aged 8 to 12 years demonstrated significantly higher scores than those in the other age groups. Malnutrition in the child significantly affected functioning of the family in the family relationships dimension. Children receiving 5 hours of rehabilitation treatment a week had significantly higher QoL in the school functioning dimension.\n            \n            \n              Conclusions\n              QOL in children with RTT, as perceived by their parents, is reduced. RTT has a significant negative correlation with family functioning.","container-title":"Journal of International Medical Research","DOI":"10.1177/03000605211007714","ISSN":"0300-0605, 1473-2300","issue":"4","journalAbbreviation":"J Int Med Res","language":"en","page":"03000605211007714","source":"DOI.org (Crossref)","title":"Clinical presentation of Rett syndrome in relation to quality of life and family functioning","volume":"49","author":[{"family":"Rozensztrauch","given":"Anna"},{"family":"Sebzda","given":"Agnieszka"},{"family":"Śmigiel","given":"Robert"}],"issued":{"date-parts":[["2021",4]]}}}],"schema":"https://github.com/citation-style-language/schema/raw/master/csl-citation.json"} </w:instrText>
            </w:r>
            <w:r w:rsidR="00845307" w:rsidRPr="009B66A4">
              <w:rPr>
                <w:rFonts w:ascii="Calibri" w:eastAsia="Times New Roman" w:hAnsi="Calibri" w:cs="Calibri"/>
                <w:kern w:val="0"/>
                <w:sz w:val="20"/>
                <w:szCs w:val="20"/>
                <w14:ligatures w14:val="none"/>
              </w:rPr>
              <w:fldChar w:fldCharType="separate"/>
            </w:r>
            <w:r w:rsidR="00845307" w:rsidRPr="009B66A4">
              <w:rPr>
                <w:rFonts w:ascii="Calibri" w:hAnsi="Calibri" w:cs="Calibri"/>
                <w:sz w:val="20"/>
                <w:szCs w:val="20"/>
              </w:rPr>
              <w:t>[34]</w:t>
            </w:r>
            <w:r w:rsidR="0084530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7B73D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Poland</w:t>
            </w:r>
          </w:p>
        </w:tc>
        <w:tc>
          <w:tcPr>
            <w:tcW w:w="1316" w:type="dxa"/>
            <w:noWrap/>
            <w:vAlign w:val="center"/>
            <w:hideMark/>
          </w:tcPr>
          <w:p w14:paraId="2BBDF0B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0C8B1A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E5493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D9996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835BBC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w:t>
            </w:r>
          </w:p>
        </w:tc>
        <w:tc>
          <w:tcPr>
            <w:tcW w:w="1682" w:type="dxa"/>
            <w:noWrap/>
            <w:vAlign w:val="center"/>
            <w:hideMark/>
          </w:tcPr>
          <w:p w14:paraId="407231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7.22 (3.57)</w:t>
            </w:r>
          </w:p>
        </w:tc>
        <w:tc>
          <w:tcPr>
            <w:tcW w:w="1394" w:type="dxa"/>
            <w:noWrap/>
            <w:vAlign w:val="center"/>
            <w:hideMark/>
          </w:tcPr>
          <w:p w14:paraId="77F0B4E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85890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8AA954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332D5D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49E579B" w14:textId="77777777" w:rsidTr="00A3759F">
        <w:trPr>
          <w:trHeight w:val="20"/>
        </w:trPr>
        <w:tc>
          <w:tcPr>
            <w:tcW w:w="1444" w:type="dxa"/>
            <w:noWrap/>
            <w:vAlign w:val="center"/>
            <w:hideMark/>
          </w:tcPr>
          <w:p w14:paraId="1BB5E8A6" w14:textId="538E3164"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Wong, 2021</w:t>
            </w:r>
            <w:r w:rsidR="00845307" w:rsidRPr="009B66A4">
              <w:rPr>
                <w:rFonts w:ascii="Calibri" w:eastAsia="Times New Roman" w:hAnsi="Calibri" w:cs="Calibri"/>
                <w:kern w:val="0"/>
                <w:sz w:val="20"/>
                <w:szCs w:val="20"/>
                <w14:ligatures w14:val="none"/>
              </w:rPr>
              <w:fldChar w:fldCharType="begin"/>
            </w:r>
            <w:r w:rsidR="00845307" w:rsidRPr="009B66A4">
              <w:rPr>
                <w:rFonts w:ascii="Calibri" w:eastAsia="Times New Roman" w:hAnsi="Calibri" w:cs="Calibri"/>
                <w:kern w:val="0"/>
                <w:sz w:val="20"/>
                <w:szCs w:val="20"/>
                <w14:ligatures w14:val="none"/>
              </w:rPr>
              <w:instrText xml:space="preserve"> ADDIN ZOTERO_ITEM CSL_CITATION {"citationID":"fHmr1ctm","properties":{"formattedCitation":"[35]","plainCitation":"[35]","noteIndex":0},"citationItems":[{"id":2906,"uris":["http://zotero.org/users/11896629/items/7Q2GYCXH"],"itemData":{"id":2906,"type":"article-journal","abstract":"Abstract\n            \n              \n              \n                Growth deficit is a common comorbidity and one of the supportive criteria in Rett syndrome (RTT). This study aimed to investigate the impact of dystonia, dietary intakes, and clinical severities on growth patterns in a Taiwanese cohort of RTT. We recruited 44 RTT patients with\n                MECP2\n                mutation for analysis. For individuals ≤18 years of age, in comparison to the RTT‐specific growth chart which comprised American RTT cohort, the body height was right‐shifted to a higher percentile, whereas the body weight was left‐shifted to a lower percentile. Furthermore, the body mass index was significantly decreased when compared to RTT‐specific growth chart (\n                p\n                = 0.01). Higher degree of overall disease severity (odd ratio = 1.159; 95% CI = 1.063–1.264;\n                p\n                = 0.001) and hand use impairment (odd ratio = 2.017; 95% CI = 1.037, 3.921;\n                p\n                = 0.039) were associated with more severe growth patterns. All individuals had dystonia at certain variable degrees. The dystonia worsened with age (\n                p\n                 &lt; 0.001) but did not have significant impact on growth deficit. Most of our cohort had adequate protein (97.37%) and energy (58.97%) intakes. The fiber intakes were generally low, with about 38 (97.4%) individuals did not meet the daily reference intakes of fiber. The protein intake was significantly lower in individuals with severe growth deficit (\n                p\n                = 0.04). Our study shows that ethnicity should be considered when comparing RTT individuals' growth pattern to the RTT‐specific growth chart. Further, disease severity, genotypes, and nutrition exert important impacts on RTT‐growth pattern.\n              \n            \n            \n              Lay Summary\n              Growth impairment is an important issue in Rett syndrome and the underlying patho‐mechanism is multifactorial. Higher degree of overall disease severity and hand use impairment were associated with more severe growth pattern deficits. Although all individuals had dystonia at certain variable degrees and the dystonia worsened with age, but it did not have significant impact on growth deficit. Nutritional intakes may partially affect growth. Furthermore, ethnicity should be considered when comparing RTT individuals' growth pattern to the RTT‐specific growth chart.","container-title":"Autism Research","DOI":"10.1002/aur.2508","ISSN":"1939-3792, 1939-3806","issue":"7","journalAbbreviation":"Autism Research","language":"en","page":"1512-1521","source":"DOI.org (Crossref)","title":"Dietary intake and growth deficits in Rett syndrome—A cross‐section study","volume":"14","author":[{"family":"Wong","given":"Lee Chin"},{"family":"Chen","given":"Yen‐Tsz"},{"family":"Tsai","given":"Shu‐Mei"},{"family":"Lin","given":"Yen‐Ju"},{"family":"Hsu","given":"Chia‐Jui"},{"family":"Wang","given":"Hsin‐Pei"},{"family":"Hu","given":"Su‐Ching"},{"family":"Shen","given":"Hsiu‐Yu"},{"family":"Tsai","given":"Wen‐Che"},{"family":"Lee","given":"Wang‐Tso"}],"issued":{"date-parts":[["2021",7]]}}}],"schema":"https://github.com/citation-style-language/schema/raw/master/csl-citation.json"} </w:instrText>
            </w:r>
            <w:r w:rsidR="00845307" w:rsidRPr="009B66A4">
              <w:rPr>
                <w:rFonts w:ascii="Calibri" w:eastAsia="Times New Roman" w:hAnsi="Calibri" w:cs="Calibri"/>
                <w:kern w:val="0"/>
                <w:sz w:val="20"/>
                <w:szCs w:val="20"/>
                <w14:ligatures w14:val="none"/>
              </w:rPr>
              <w:fldChar w:fldCharType="separate"/>
            </w:r>
            <w:r w:rsidR="00845307" w:rsidRPr="009B66A4">
              <w:rPr>
                <w:rFonts w:ascii="Calibri" w:hAnsi="Calibri" w:cs="Calibri"/>
                <w:sz w:val="20"/>
                <w:szCs w:val="20"/>
              </w:rPr>
              <w:t>[35]</w:t>
            </w:r>
            <w:r w:rsidR="0084530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CAAE5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Taiwan</w:t>
            </w:r>
          </w:p>
        </w:tc>
        <w:tc>
          <w:tcPr>
            <w:tcW w:w="1316" w:type="dxa"/>
            <w:noWrap/>
            <w:vAlign w:val="center"/>
            <w:hideMark/>
          </w:tcPr>
          <w:p w14:paraId="332E48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1AAB6E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D37E07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3AAE4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E01C1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w:t>
            </w:r>
          </w:p>
        </w:tc>
        <w:tc>
          <w:tcPr>
            <w:tcW w:w="1682" w:type="dxa"/>
            <w:noWrap/>
            <w:vAlign w:val="center"/>
            <w:hideMark/>
          </w:tcPr>
          <w:p w14:paraId="745D128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17.03 (10.52)</w:t>
            </w:r>
          </w:p>
        </w:tc>
        <w:tc>
          <w:tcPr>
            <w:tcW w:w="1394" w:type="dxa"/>
            <w:noWrap/>
            <w:vAlign w:val="center"/>
            <w:hideMark/>
          </w:tcPr>
          <w:p w14:paraId="319D62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DEAA3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 (100%)</w:t>
            </w:r>
          </w:p>
        </w:tc>
        <w:tc>
          <w:tcPr>
            <w:tcW w:w="1394" w:type="dxa"/>
            <w:noWrap/>
            <w:vAlign w:val="center"/>
            <w:hideMark/>
          </w:tcPr>
          <w:p w14:paraId="2D88A2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 (100%)</w:t>
            </w:r>
          </w:p>
        </w:tc>
        <w:tc>
          <w:tcPr>
            <w:tcW w:w="1438" w:type="dxa"/>
            <w:vAlign w:val="center"/>
            <w:hideMark/>
          </w:tcPr>
          <w:p w14:paraId="6DC2C8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median (range): 25 (5-41)</w:t>
            </w:r>
          </w:p>
        </w:tc>
      </w:tr>
      <w:tr w:rsidR="00713B5E" w:rsidRPr="009B66A4" w14:paraId="0861F24C" w14:textId="77777777" w:rsidTr="00A3759F">
        <w:trPr>
          <w:trHeight w:val="20"/>
        </w:trPr>
        <w:tc>
          <w:tcPr>
            <w:tcW w:w="1444" w:type="dxa"/>
            <w:noWrap/>
            <w:vAlign w:val="center"/>
            <w:hideMark/>
          </w:tcPr>
          <w:p w14:paraId="2993CE52" w14:textId="7F16B2A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Thapa, 2021</w:t>
            </w:r>
            <w:r w:rsidR="001437CE" w:rsidRPr="009B66A4">
              <w:rPr>
                <w:rFonts w:ascii="Calibri" w:eastAsia="Times New Roman" w:hAnsi="Calibri" w:cs="Calibri"/>
                <w:kern w:val="0"/>
                <w:sz w:val="20"/>
                <w:szCs w:val="20"/>
                <w14:ligatures w14:val="none"/>
              </w:rPr>
              <w:fldChar w:fldCharType="begin"/>
            </w:r>
            <w:r w:rsidR="001437CE" w:rsidRPr="009B66A4">
              <w:rPr>
                <w:rFonts w:ascii="Calibri" w:eastAsia="Times New Roman" w:hAnsi="Calibri" w:cs="Calibri"/>
                <w:kern w:val="0"/>
                <w:sz w:val="20"/>
                <w:szCs w:val="20"/>
                <w14:ligatures w14:val="none"/>
              </w:rPr>
              <w:instrText xml:space="preserve"> ADDIN ZOTERO_ITEM CSL_CITATION {"citationID":"pzuAGmpU","properties":{"formattedCitation":"[36]","plainCitation":"[36]","noteIndex":0},"citationItems":[{"id":2898,"uris":["http://zotero.org/users/11896629/items/HWYLGSXE"],"itemData":{"id":2898,"type":"article-journal","abstract":"Background\n              Gastrointestinal problems affect the health and quality of life of individuals with Rett syndrome (RTT) and pose a medical hardship for their caregivers. We hypothesized that the variability in the RTT phenotype contributes to the dysbiosis of the gut microbiome and metabolome in RTT, predisposing these individuals to gastrointestinal dysfunction.\n            \n            \n              Objectives\n              We characterized the gut bacterial microbiome and metabolome in girls and young women with RTT (n = 44) and unaffected controls (n = 21), and examined the relation between the composition of the microbiome and variations in the RTT phenotype.\n            \n            \n              Methods\n              Demographics and clinical information, including growth and anthropometric measurements, pubertal status, symptoms, clinical severity score, bowel movement, medication use, and dietary intakes were collected from the participants. Fecal samples were collected for analysis of the gut microbiome using Illumina MiSeq-based next-generation sequencing of the 16S rRNA gene followed by bioinformatics analysis of microbial composition, diversity, and community structure. Selected end-products of microbial protein metabolism were characterized by liquid chromatography-mass spectrometry.\n            \n            \n              Results\n              The gut bacterial microbiome differed within the RTT cohort based on pubertal status (p&lt;0.02) and clinical severity scores (p&lt;0.02) of the individuals and the type of diet (p&lt;0.01) consumed. Although the composition of the gut microbiome did not differ between RTT and unaffected individuals, concentrations of protein end-products of the gut bacterial metabolome, including γ-aminobutyric acid (GABA) (p&lt;0.001), tyrosine (p&lt;0.02), and glutamate (p&lt;0.06), were lower in the RTT cohort. Differences in the microbiome within RTT groups, based on symptomatic anxiety, hyperventilation, abdominal distention, or changes in stool frequency and consistency, were not detected.\n            \n            \n              Conclusions\n              Although variability in the RTT phenotype contributes to the dysbiosis of the gut microbiome, we presently cannot infer causality between gut bacterial dysbiosis and gastrointestinal dysfunction. Nevertheless, alterations in the gut metabolome may provide clues to the pathophysiology of gastrointestinal problems in RTT.","container-title":"PLOS ONE","DOI":"10.1371/journal.pone.0251231","ISSN":"1932-6203","issue":"5","journalAbbreviation":"PLoS ONE","language":"en","page":"e0251231","source":"DOI.org (Crossref)","title":"Assessment of the gut bacterial microbiome and metabolome of girls and women with Rett Syndrome","volume":"16","author":[{"family":"Thapa","given":"Santosh"},{"family":"Venkatachalam","given":"Alamelu"},{"family":"Khan","given":"Nabeel"},{"family":"Naqvi","given":"Mohammed"},{"family":"Balderas","given":"Miriam"},{"family":"Runge","given":"Jessica K."},{"family":"Haag","given":"Anthony"},{"family":"Hoch","given":"Kathleen M."},{"family":"Glaze","given":"Daniel G."},{"family":"Luna","given":"Ruth Ann"},{"family":"Motil","given":"Kathleen J."}],"editor":[{"family":"Zoetendal","given":"Erwin G."}],"issued":{"date-parts":[["2021",5,6]]}}}],"schema":"https://github.com/citation-style-language/schema/raw/master/csl-citation.json"} </w:instrText>
            </w:r>
            <w:r w:rsidR="001437CE" w:rsidRPr="009B66A4">
              <w:rPr>
                <w:rFonts w:ascii="Calibri" w:eastAsia="Times New Roman" w:hAnsi="Calibri" w:cs="Calibri"/>
                <w:kern w:val="0"/>
                <w:sz w:val="20"/>
                <w:szCs w:val="20"/>
                <w14:ligatures w14:val="none"/>
              </w:rPr>
              <w:fldChar w:fldCharType="separate"/>
            </w:r>
            <w:r w:rsidR="001437CE" w:rsidRPr="009B66A4">
              <w:rPr>
                <w:rFonts w:ascii="Calibri" w:hAnsi="Calibri" w:cs="Calibri"/>
                <w:sz w:val="20"/>
                <w:szCs w:val="20"/>
              </w:rPr>
              <w:t>[36]</w:t>
            </w:r>
            <w:r w:rsidR="001437C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65EE0A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20DE32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0739ABB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4A7C90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7B5BC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204433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w:t>
            </w:r>
          </w:p>
        </w:tc>
        <w:tc>
          <w:tcPr>
            <w:tcW w:w="1682" w:type="dxa"/>
            <w:noWrap/>
            <w:vAlign w:val="center"/>
            <w:hideMark/>
          </w:tcPr>
          <w:p w14:paraId="789345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12.4 (Range: 5.1 – 36.1)</w:t>
            </w:r>
          </w:p>
        </w:tc>
        <w:tc>
          <w:tcPr>
            <w:tcW w:w="1394" w:type="dxa"/>
            <w:noWrap/>
            <w:vAlign w:val="center"/>
            <w:hideMark/>
          </w:tcPr>
          <w:p w14:paraId="44DF67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987C70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 (100%)</w:t>
            </w:r>
          </w:p>
        </w:tc>
        <w:tc>
          <w:tcPr>
            <w:tcW w:w="1394" w:type="dxa"/>
            <w:noWrap/>
            <w:vAlign w:val="center"/>
            <w:hideMark/>
          </w:tcPr>
          <w:p w14:paraId="78EA4E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43 (98%)</w:t>
            </w:r>
          </w:p>
        </w:tc>
        <w:tc>
          <w:tcPr>
            <w:tcW w:w="1438" w:type="dxa"/>
            <w:vAlign w:val="center"/>
            <w:hideMark/>
          </w:tcPr>
          <w:p w14:paraId="4FC9B642" w14:textId="780F6E54"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25 (7)</w:t>
            </w:r>
          </w:p>
        </w:tc>
      </w:tr>
      <w:tr w:rsidR="00713B5E" w:rsidRPr="009B66A4" w14:paraId="0C0A8336" w14:textId="77777777" w:rsidTr="00A3759F">
        <w:trPr>
          <w:trHeight w:val="20"/>
        </w:trPr>
        <w:tc>
          <w:tcPr>
            <w:tcW w:w="1444" w:type="dxa"/>
            <w:noWrap/>
            <w:vAlign w:val="center"/>
            <w:hideMark/>
          </w:tcPr>
          <w:p w14:paraId="30990BCD" w14:textId="704D09F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Lai, 2021</w:t>
            </w:r>
            <w:r w:rsidR="001437CE" w:rsidRPr="009B66A4">
              <w:rPr>
                <w:rFonts w:ascii="Calibri" w:eastAsia="Times New Roman" w:hAnsi="Calibri" w:cs="Calibri"/>
                <w:kern w:val="0"/>
                <w:sz w:val="20"/>
                <w:szCs w:val="20"/>
                <w14:ligatures w14:val="none"/>
              </w:rPr>
              <w:fldChar w:fldCharType="begin"/>
            </w:r>
            <w:r w:rsidR="008359F5" w:rsidRPr="009B66A4">
              <w:rPr>
                <w:rFonts w:ascii="Calibri" w:eastAsia="Times New Roman" w:hAnsi="Calibri" w:cs="Calibri"/>
                <w:kern w:val="0"/>
                <w:sz w:val="20"/>
                <w:szCs w:val="20"/>
                <w14:ligatures w14:val="none"/>
              </w:rPr>
              <w:instrText xml:space="preserve"> ADDIN ZOTERO_ITEM CSL_CITATION {"citationID":"yg7UzjCg","properties":{"formattedCitation":"[37]","plainCitation":"[37]","noteIndex":0},"citationItems":[{"id":3397,"uris":["http://zotero.org/users/11896629/items/EI567MTT"],"itemData":{"id":3397,"type":"article-journal","abstract":"Abstract\n            \n              Background\n              There is a dearth of literature available on the comparative oral health status of those with Rett syndrome (RTT) despite diurnal bruxism being a supportive diagnostic criterion for the disorder. This study was designed to investigate the dental experiences of individuals with RTT in terms of perceived at‐home and professional dental care.\n            \n            \n              Methods\n              \n                Using data in the\n                InterRett\n                database, provided by English‐speaking families of individuals with a confirmed\n                MECP2\n                genetic mutation, the study investigated relationships between dental problems, oral care, child factors including bruxism and use of gastrostomy, and socioeconomic indicators. The study also explored relationships between dental presentations and socioeconomic, child, and family‐related factors.\n              \n            \n            \n              Results\n              Individuals with RTT exhibiting bruxism were more likely to access dental treatment. Those who had full oral feeding had a higher incidence rate of dental treatment than those with full tube feeding. A conservative (under) estimation of the overall dental caries progression rate revealed that this may be similar to that of the normal population.\n            \n            \n              Conclusions\n              Drivers for dental treatment in RTT include bruxism as well as dental caries. Those who have full oral feeding experience more dental treatment than those with full tube feeding. A higher maternal education level may confer a protective effect for oral health outcomes in those with RTT. Nevertheless, families generally tended to value the importance of oral health despite reported difficulties in day‐to‐day mouth care.","container-title":"Journal of Intellectual Disability Research","DOI":"10.1111/jir.12834","ISSN":"0964-2633, 1365-2788","issue":"6","journalAbbreviation":"J intellect Disabil Res","language":"en","page":"561-576","source":"DOI.org (Crossref)","title":"Oral health care and service utilisation in individuals with Rett syndrome: an international cross‐sectional study","title-short":"Oral health care and service utilisation in individuals with Rett syndrome","volume":"65","author":[{"family":"Lai","given":"Y. Y. L."},{"family":"Downs","given":"J."},{"family":"Zafar","given":"S."},{"family":"Wong","given":"K."},{"family":"Walsh","given":"L."},{"family":"Leonard","given":"H."}],"issued":{"date-parts":[["2021",6]]}}}],"schema":"https://github.com/citation-style-language/schema/raw/master/csl-citation.json"} </w:instrText>
            </w:r>
            <w:r w:rsidR="001437CE" w:rsidRPr="009B66A4">
              <w:rPr>
                <w:rFonts w:ascii="Calibri" w:eastAsia="Times New Roman" w:hAnsi="Calibri" w:cs="Calibri"/>
                <w:kern w:val="0"/>
                <w:sz w:val="20"/>
                <w:szCs w:val="20"/>
                <w14:ligatures w14:val="none"/>
              </w:rPr>
              <w:fldChar w:fldCharType="separate"/>
            </w:r>
            <w:r w:rsidR="008359F5" w:rsidRPr="009B66A4">
              <w:rPr>
                <w:rFonts w:ascii="Calibri" w:hAnsi="Calibri" w:cs="Calibri"/>
                <w:sz w:val="20"/>
                <w:szCs w:val="20"/>
              </w:rPr>
              <w:t>[37]</w:t>
            </w:r>
            <w:r w:rsidR="001437C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A6688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 UK and Canada</w:t>
            </w:r>
          </w:p>
        </w:tc>
        <w:tc>
          <w:tcPr>
            <w:tcW w:w="1316" w:type="dxa"/>
            <w:noWrap/>
            <w:vAlign w:val="center"/>
            <w:hideMark/>
          </w:tcPr>
          <w:p w14:paraId="4A82CB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6C63E0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E46596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BE17D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4AB59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w:t>
            </w:r>
          </w:p>
        </w:tc>
        <w:tc>
          <w:tcPr>
            <w:tcW w:w="1682" w:type="dxa"/>
            <w:noWrap/>
            <w:vAlign w:val="center"/>
            <w:hideMark/>
          </w:tcPr>
          <w:p w14:paraId="0C94A6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DB9605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BB224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 (100%)</w:t>
            </w:r>
          </w:p>
        </w:tc>
        <w:tc>
          <w:tcPr>
            <w:tcW w:w="1394" w:type="dxa"/>
            <w:noWrap/>
            <w:vAlign w:val="center"/>
            <w:hideMark/>
          </w:tcPr>
          <w:p w14:paraId="4C2B56B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35AB69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3592849" w14:textId="77777777" w:rsidTr="00A3759F">
        <w:trPr>
          <w:trHeight w:val="20"/>
        </w:trPr>
        <w:tc>
          <w:tcPr>
            <w:tcW w:w="1444" w:type="dxa"/>
            <w:noWrap/>
            <w:vAlign w:val="center"/>
            <w:hideMark/>
          </w:tcPr>
          <w:p w14:paraId="0A585C41" w14:textId="1EC58E1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Humphrey, 2021a</w:t>
            </w:r>
            <w:r w:rsidR="008359F5" w:rsidRPr="009B66A4">
              <w:rPr>
                <w:rFonts w:ascii="Calibri" w:eastAsia="Times New Roman" w:hAnsi="Calibri" w:cs="Calibri"/>
                <w:kern w:val="0"/>
                <w:sz w:val="20"/>
                <w:szCs w:val="20"/>
                <w14:ligatures w14:val="none"/>
              </w:rPr>
              <w:fldChar w:fldCharType="begin"/>
            </w:r>
            <w:r w:rsidR="002149CD" w:rsidRPr="009B66A4">
              <w:rPr>
                <w:rFonts w:ascii="Calibri" w:eastAsia="Times New Roman" w:hAnsi="Calibri" w:cs="Calibri"/>
                <w:kern w:val="0"/>
                <w:sz w:val="20"/>
                <w:szCs w:val="20"/>
                <w14:ligatures w14:val="none"/>
              </w:rPr>
              <w:instrText xml:space="preserve"> ADDIN ZOTERO_ITEM CSL_CITATION {"citationID":"kHRZmdB7","properties":{"formattedCitation":"[38]","plainCitation":"[38]","noteIndex":0},"citationItems":[{"id":3398,"uris":["http://zotero.org/users/11896629/items/RVAWD4L6"],"itemData":{"id":3398,"type":"article-journal","container-title":"Journal of Pediatric and Adolescent Gynecology","DOI":"10.1016/j.jpag.2020.11.002","ISSN":"10833188","issue":"2","journalAbbreviation":"Journal of Pediatric and Adolescent Gynecology","language":"en","page":"144-153","source":"DOI.org (Crossref)","title":"Features of Menstruation and Menstruation Management in Individuals with Rett Syndrome","volume":"34","author":[{"family":"Humphrey","given":"Kristen N."},{"family":"Horn","given":"Paul S."},{"family":"Olshavsky","given":"Leanne"},{"family":"Reebals","given":"Lisa"},{"family":"Standridge","given":"Shannon M."}],"issued":{"date-parts":[["2021",4]]}}}],"schema":"https://github.com/citation-style-language/schema/raw/master/csl-citation.json"} </w:instrText>
            </w:r>
            <w:r w:rsidR="008359F5" w:rsidRPr="009B66A4">
              <w:rPr>
                <w:rFonts w:ascii="Calibri" w:eastAsia="Times New Roman" w:hAnsi="Calibri" w:cs="Calibri"/>
                <w:kern w:val="0"/>
                <w:sz w:val="20"/>
                <w:szCs w:val="20"/>
                <w14:ligatures w14:val="none"/>
              </w:rPr>
              <w:fldChar w:fldCharType="separate"/>
            </w:r>
            <w:r w:rsidR="002149CD" w:rsidRPr="009B66A4">
              <w:rPr>
                <w:rFonts w:ascii="Calibri" w:hAnsi="Calibri" w:cs="Calibri"/>
                <w:sz w:val="20"/>
                <w:szCs w:val="20"/>
              </w:rPr>
              <w:t>[38]</w:t>
            </w:r>
            <w:r w:rsidR="008359F5"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AD7CE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4419063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0F1176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BF54D6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CA66C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1799E0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77</w:t>
            </w:r>
          </w:p>
        </w:tc>
        <w:tc>
          <w:tcPr>
            <w:tcW w:w="1682" w:type="dxa"/>
            <w:vAlign w:val="center"/>
            <w:hideMark/>
          </w:tcPr>
          <w:p w14:paraId="054FC8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0D4F43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4A8ED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77 (100%)</w:t>
            </w:r>
          </w:p>
        </w:tc>
        <w:tc>
          <w:tcPr>
            <w:tcW w:w="1394" w:type="dxa"/>
            <w:noWrap/>
            <w:vAlign w:val="center"/>
            <w:hideMark/>
          </w:tcPr>
          <w:p w14:paraId="3FAADD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8F1E7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00C3826" w14:textId="77777777" w:rsidTr="00A3759F">
        <w:trPr>
          <w:trHeight w:val="20"/>
        </w:trPr>
        <w:tc>
          <w:tcPr>
            <w:tcW w:w="1444" w:type="dxa"/>
            <w:noWrap/>
            <w:vAlign w:val="center"/>
            <w:hideMark/>
          </w:tcPr>
          <w:p w14:paraId="5E6B3CED" w14:textId="3CFFC26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Williams, 2021</w:t>
            </w:r>
            <w:r w:rsidR="002149CD" w:rsidRPr="009B66A4">
              <w:rPr>
                <w:rFonts w:ascii="Calibri" w:eastAsia="Times New Roman" w:hAnsi="Calibri" w:cs="Calibri"/>
                <w:kern w:val="0"/>
                <w:sz w:val="20"/>
                <w:szCs w:val="20"/>
                <w14:ligatures w14:val="none"/>
              </w:rPr>
              <w:fldChar w:fldCharType="begin"/>
            </w:r>
            <w:r w:rsidR="00F82383" w:rsidRPr="009B66A4">
              <w:rPr>
                <w:rFonts w:ascii="Calibri" w:eastAsia="Times New Roman" w:hAnsi="Calibri" w:cs="Calibri"/>
                <w:kern w:val="0"/>
                <w:sz w:val="20"/>
                <w:szCs w:val="20"/>
                <w14:ligatures w14:val="none"/>
              </w:rPr>
              <w:instrText xml:space="preserve"> ADDIN ZOTERO_ITEM CSL_CITATION {"citationID":"i4BlHfEN","properties":{"formattedCitation":"[39]","plainCitation":"[39]","noteIndex":0},"citationItems":[{"id":3399,"uris":["http://zotero.org/users/11896629/items/LEHQZ4J9"],"itemData":{"id":3399,"type":"article-journal","abstract":"Aims\n              To investigate associations between functioning, community participation, and quality of life (QoL) and identify whether participation mediates the effects of functioning on QoL.\n            \n            \n              Method\n              The caregivers of 435 children (211 females, 224 males; mean age 12y; SD 3y 11mo; age range 5–18y) with intellectual disability and autism spectrum disorder, cerebral palsy, Down syndrome, or Rett syndrome reported on their child’s functioning (dependence for managing personal needs, mobility, communication, eye contact when speaking), frequency of participation, and QoL. Linear regression and mediation analyses were used to evaluate the relationships between child functioning, participation, and QoL.\n            \n            \n              Results\n              Children with greater dependency for managing personal needs and limited eye contact when speaking experienced poorer QoL. Less impaired functioning was associated with more frequent participation, which, in turn, was associated with a 3‐point gain in QoL for each additional point in frequency of participation (coefficient=2.67, 95% confidence interval 1.56–3.78). The effect of impaired functioning on QoL was partially mediated by participation in children with greater dependency in managing personal needs and those with mildly impaired communication.\n            \n            \n              Interpretation\n              Greater levels of impairments with poorer functioning, notably a high level of dependence, were associated with poorer QoL. Poorer QoL can be partly explained by less frequent community participation.\n            \n          , \n            Funcionamiento, participación y calidad de vida en niños con discapacidad intelectual: estudio observacional\n            \n              Objetivo\n              Investigar las asociaciones entre el funcionamiento, la participación comunitaria y la calidad de vida (CdV) e identificar si la participación media los efectos del funcionamiento en la CdV.\n            \n            \n              Método\n              Participaron los cuidadores de 435 niños (211 niñas y 224 niños; media de edad 12 años DS 3 años 11 meses; rango de edad 5‐18 años) con discapacidad intelectual y trastorno del espectro autista, parálisis cerebral, síndrome de Down o síndrome de Rett. Informaron sobre el funcionamiento de sus hijos (dependencia para el manejo de necesidades personales, movilidad, comunicación, contacto visual al hablar), frecuencia de participación y calidad de vida. Se realizaron análisis de mediación y regresión lineal para analizar las relaciones entre el funcionamiento, la participación y la calidad de vida de los niños.\n            \n            \n              Resultados\n              Los niños con mayor dependencia para manejar sus necesidades personales y aquellos con limitado contacto visual al hablar, experimentaron una peor calidad de vida. Un menor compromiso en el funcionamiento se asoció con una participación más frecuente, que, a su vez, se asoció con una ganancia de 3 puntos en la CdV por cada punto adicional en la frecuencia de participación (coeficiente = 2,67, intervalo de confianza del 95%: 1,56–3,78). El efecto del deterioro del funcionamiento sobre la calidad de vida fue mediado parcialmente por la participación en niños con mayor dependencia en el manejo de sus necesidades personales y en aquellos con un compromiso leve en la comunicación.\n            \n            \n              Interpretación\n              Niveles mayores de deficiencias en el funcionamiento, en particular un alto nivel de dependencia, se asociaron con una peor calidad de vida. La menor calidad de vida se puede explicar, en parte, por una participación comunitaria menos frecuente.\n            \n          , \n            Funcionamento, participação e qualidade de vida em crianças com deficiência intelectual: um estudo observacional\n            \n              Objetivo\n              Investigar associações entre funcionamento, participação na comunidade, e qualidade de vida (QV), e identificar se a participação media os efeitos do funcionamento na QV.\n            \n            \n              Método\n              Os cuidadores de 435 crianças (211 do sexo feminino, 224 do sexo masculino; média de idade 12a; DP 3a 11m; variação da idade: 5–18a) com deficiência intelectual e transtorno do espectro autista, paralisia cerebral, síndrome de Down, ou síndrome de Rett, relataram o funcionamento de suas crianças (dependência para manejar necessidades pessoais, mobilidade, comunicação, contato pessoal ao falar), frequência de participação, e QV. Análises de regressão linear e de mediação foram usadas para avaliar as relações entre funcionamento da criança, participação, e QV.\n            \n            \n              Resultados\n              Crianças com maior dependência para o manejo das necessidades pessoais e contato visual limitado ao falar experimentaram pior QV. Funcionamento menos comprometido foi associado com maior frequência de participação, o que, por sua vez, se associou com um ganho de 3 pontos em QV para cada ponto adicional na frequência de participação (coeficiente=2,67, intervalo de confiança a 95% 1,56–3,78). O efeito do funcionamento deficiente na QV foi parcialmente mediado pela participação em crianças com maior dependência no manejo de necessidades pessoais e naquelas com comunicação levemente comprometida.\n            \n            \n              Interpretação\n              Maiores níveis de deficiência com pior funcionamento, notavelmente um maior nível de dependência, foram associados com pior QV. Pior QV pode ser parcialmente explicda por uma participação menos frequente na comunidade.\n            \n          , \n            This article's abstract has been translated into Spanish and Portuguese.\n            \n              Follow the links from the\n              abstract\n              to view the translations.\n            \n            \n              This article is commented on by Alveirinho Correia on page\n              11\n              of this issue.\n            \n            \n              Plain language summary:\n              https://onlinelibrary.wiley.com/doi/10.1111/dmcn.15454","container-title":"Developmental Medicine &amp; Child Neurology","DOI":"10.1111/dmcn.14657","ISSN":"0012-1622, 1469-8749","issue":"1","journalAbbreviation":"Develop Med Child Neuro","language":"en","page":"89-96","source":"DOI.org (Crossref)","title":"Functioning, participation, and quality of life in children with intellectual disability: an observational study","title-short":"Functioning, participation, and quality of life in children with intellectual disability","volume":"63","author":[{"family":"Williams","given":"Katrina"},{"family":"Jacoby","given":"Peter"},{"family":"Whitehouse","given":"Andrew"},{"family":"Kim","given":"Rachel"},{"family":"Epstein","given":"Amy"},{"family":"Murphy","given":"Nada"},{"family":"Reid","given":"Sue"},{"family":"Leonard","given":"Helen"},{"family":"Reddihough","given":"Dinah"},{"family":"Downs","given":"Jenny"}],"issued":{"date-parts":[["2021",1]]}}}],"schema":"https://github.com/citation-style-language/schema/raw/master/csl-citation.json"} </w:instrText>
            </w:r>
            <w:r w:rsidR="002149CD" w:rsidRPr="009B66A4">
              <w:rPr>
                <w:rFonts w:ascii="Calibri" w:eastAsia="Times New Roman" w:hAnsi="Calibri" w:cs="Calibri"/>
                <w:kern w:val="0"/>
                <w:sz w:val="20"/>
                <w:szCs w:val="20"/>
                <w14:ligatures w14:val="none"/>
              </w:rPr>
              <w:fldChar w:fldCharType="separate"/>
            </w:r>
            <w:r w:rsidR="00F82383" w:rsidRPr="009B66A4">
              <w:rPr>
                <w:rFonts w:ascii="Calibri" w:hAnsi="Calibri" w:cs="Calibri"/>
                <w:sz w:val="20"/>
                <w:szCs w:val="20"/>
              </w:rPr>
              <w:t>[39]</w:t>
            </w:r>
            <w:r w:rsidR="002149C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30D4A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3FDFD66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09301D6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5E4F44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B7C04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FD627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62</w:t>
            </w:r>
          </w:p>
        </w:tc>
        <w:tc>
          <w:tcPr>
            <w:tcW w:w="1682" w:type="dxa"/>
            <w:noWrap/>
            <w:vAlign w:val="center"/>
            <w:hideMark/>
          </w:tcPr>
          <w:p w14:paraId="45A522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 years (3 years and 11 months)</w:t>
            </w:r>
          </w:p>
        </w:tc>
        <w:tc>
          <w:tcPr>
            <w:tcW w:w="1394" w:type="dxa"/>
            <w:noWrap/>
            <w:vAlign w:val="center"/>
            <w:hideMark/>
          </w:tcPr>
          <w:p w14:paraId="6B3A76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CD1BBA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62 (100%)</w:t>
            </w:r>
          </w:p>
        </w:tc>
        <w:tc>
          <w:tcPr>
            <w:tcW w:w="1394" w:type="dxa"/>
            <w:noWrap/>
            <w:vAlign w:val="center"/>
            <w:hideMark/>
          </w:tcPr>
          <w:p w14:paraId="5517F6D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36475E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7D4799F" w14:textId="77777777" w:rsidTr="00A3759F">
        <w:trPr>
          <w:trHeight w:val="20"/>
        </w:trPr>
        <w:tc>
          <w:tcPr>
            <w:tcW w:w="1444" w:type="dxa"/>
            <w:noWrap/>
            <w:vAlign w:val="center"/>
            <w:hideMark/>
          </w:tcPr>
          <w:p w14:paraId="3FD2CEBD" w14:textId="43F3957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Humphrey, 2021b</w:t>
            </w:r>
            <w:r w:rsidR="00F82383" w:rsidRPr="009B66A4">
              <w:rPr>
                <w:rFonts w:ascii="Calibri" w:eastAsia="Times New Roman" w:hAnsi="Calibri" w:cs="Calibri"/>
                <w:kern w:val="0"/>
                <w:sz w:val="20"/>
                <w:szCs w:val="20"/>
                <w14:ligatures w14:val="none"/>
              </w:rPr>
              <w:fldChar w:fldCharType="begin"/>
            </w:r>
            <w:r w:rsidR="00FB06DE" w:rsidRPr="009B66A4">
              <w:rPr>
                <w:rFonts w:ascii="Calibri" w:eastAsia="Times New Roman" w:hAnsi="Calibri" w:cs="Calibri"/>
                <w:kern w:val="0"/>
                <w:sz w:val="20"/>
                <w:szCs w:val="20"/>
                <w14:ligatures w14:val="none"/>
              </w:rPr>
              <w:instrText xml:space="preserve"> ADDIN ZOTERO_ITEM CSL_CITATION {"citationID":"UQ9q0phr","properties":{"formattedCitation":"[40]","plainCitation":"[40]","noteIndex":0},"citationItems":[{"id":3400,"uris":["http://zotero.org/users/11896629/items/FATTU8DI"],"itemData":{"id":3400,"type":"article-journal","container-title":"Disability and Health Journal","DOI":"10.1016/j.dhjo.2020.100982","ISSN":"19366574","issue":"1","journalAbbreviation":"Disability and Health Journal","language":"en","page":"100982","source":"DOI.org (Crossref)","title":"Well-woman care and HPV vaccination rates in women with Rett syndrome","volume":"14","author":[{"family":"Humphrey","given":"Kristen N."},{"family":"Horn","given":"Paul S."},{"family":"Olshavsky","given":"Leanne"},{"family":"Reebals","given":"Lisa"},{"family":"Standridge","given":"Shannon M."}],"issued":{"date-parts":[["2021",1]]}}}],"schema":"https://github.com/citation-style-language/schema/raw/master/csl-citation.json"} </w:instrText>
            </w:r>
            <w:r w:rsidR="00F82383" w:rsidRPr="009B66A4">
              <w:rPr>
                <w:rFonts w:ascii="Calibri" w:eastAsia="Times New Roman" w:hAnsi="Calibri" w:cs="Calibri"/>
                <w:kern w:val="0"/>
                <w:sz w:val="20"/>
                <w:szCs w:val="20"/>
                <w14:ligatures w14:val="none"/>
              </w:rPr>
              <w:fldChar w:fldCharType="separate"/>
            </w:r>
            <w:r w:rsidR="00FB06DE" w:rsidRPr="009B66A4">
              <w:rPr>
                <w:rFonts w:ascii="Calibri" w:hAnsi="Calibri" w:cs="Calibri"/>
                <w:sz w:val="20"/>
                <w:szCs w:val="20"/>
              </w:rPr>
              <w:t>[40]</w:t>
            </w:r>
            <w:r w:rsidR="00F8238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55206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06D7B2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1BF82D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1AECD3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A78F5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5D7CE8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77</w:t>
            </w:r>
          </w:p>
        </w:tc>
        <w:tc>
          <w:tcPr>
            <w:tcW w:w="1682" w:type="dxa"/>
            <w:noWrap/>
            <w:vAlign w:val="center"/>
            <w:hideMark/>
          </w:tcPr>
          <w:p w14:paraId="1BE74F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13DDB59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B8C9B9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77 (100%)</w:t>
            </w:r>
          </w:p>
        </w:tc>
        <w:tc>
          <w:tcPr>
            <w:tcW w:w="1394" w:type="dxa"/>
            <w:noWrap/>
            <w:vAlign w:val="center"/>
            <w:hideMark/>
          </w:tcPr>
          <w:p w14:paraId="1C3A47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02E149A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5D890A2" w14:textId="77777777" w:rsidTr="00A3759F">
        <w:trPr>
          <w:trHeight w:val="20"/>
        </w:trPr>
        <w:tc>
          <w:tcPr>
            <w:tcW w:w="1444" w:type="dxa"/>
            <w:noWrap/>
            <w:vAlign w:val="center"/>
            <w:hideMark/>
          </w:tcPr>
          <w:p w14:paraId="4D4A8156" w14:textId="3D2C647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Rodriguez, 2020 </w:t>
            </w:r>
            <w:r w:rsidR="00FB06DE" w:rsidRPr="009B66A4">
              <w:rPr>
                <w:rFonts w:ascii="Calibri" w:eastAsia="Times New Roman" w:hAnsi="Calibri" w:cs="Calibri"/>
                <w:kern w:val="0"/>
                <w:sz w:val="20"/>
                <w:szCs w:val="20"/>
                <w14:ligatures w14:val="none"/>
              </w:rPr>
              <w:fldChar w:fldCharType="begin"/>
            </w:r>
            <w:r w:rsidR="00E05EDA" w:rsidRPr="009B66A4">
              <w:rPr>
                <w:rFonts w:ascii="Calibri" w:eastAsia="Times New Roman" w:hAnsi="Calibri" w:cs="Calibri"/>
                <w:kern w:val="0"/>
                <w:sz w:val="20"/>
                <w:szCs w:val="20"/>
                <w14:ligatures w14:val="none"/>
              </w:rPr>
              <w:instrText xml:space="preserve"> ADDIN ZOTERO_ITEM CSL_CITATION {"citationID":"Zz04DRKE","properties":{"formattedCitation":"[41]","plainCitation":"[41]","noteIndex":0},"citationItems":[{"id":3401,"uris":["http://zotero.org/users/11896629/items/J56Z7ISY"],"itemData":{"id":3401,"type":"article-journal","abstract":"BACKGROUND:\n              Rett Syndrome (RTT), an incurable neurodevelopmental disorder associated in &gt;96% with the X-linked gene, MECP2 includes seizures, among its most difficult issues, impacting many features and increasing morbidity and mortality. Linking these seizures with clinical severity in RTT is critical for estimating risk and guiding therapy.\n            \n            \n              OBJECTIVE:\n              Our primary purpose was to identify associations between type and frequency of seizures, disease severity, and specific MECP2 mutations to address the hypothesis that seizure frequency correlates with specific mutations and directly impacts clinical severity.\n            \n            \n              METHODS:\n              Mutation, seizure type and frequency, and clinical severity assessed by the Clinical Severity Scale (CSS) were extracted from the 5211 Natural History Study of Rett Syndrome and Related Disorders [ 1 ]. This involved observations from 222 Persons with classic or variant RTT and MECP2 mutation positive non-Rett diagnoses. Descriptive analyses were assessed utilizing SPSS software. Mutations include R106W, R133C, R168X, R294X, R306C, other point mutations, and early truncations.\n            \n            \n              RESULTS:\n              Greater frequency of generalized seizures and seizures of any type were associated with R106W mutations; R168X mutations had the highest disease severity, and R133C mutations had the lowest disease severity.\n            \n            \n              CONCLUSION:\n              Important correlations exist across several common MECP2 mutations, including the novel association between generalized seizure frequency and mild CSS.","container-title":"Translational Science of Rare Diseases","DOI":"10.3233/TRD-200047","ISSN":"2214-6490, 2214-6512","issue":"3-4","journalAbbreviation":"Translational Science of Rare Diseases","language":"en","page":"131-141","source":"DOI.org (Crossref)","title":"Rett syndrome: Novel correlations linking &gt;96% genotype, disease severity, and seizures","title-short":"Rett syndrome","volume":"5","author":[{"family":"Rodriguez","given":"Lourdes M."},{"family":"Percy","given":"Alan K."},{"family":"Cutter","given":"Gary R."}],"issued":{"date-parts":[["2021",4,15]]}}}],"schema":"https://github.com/citation-style-language/schema/raw/master/csl-citation.json"} </w:instrText>
            </w:r>
            <w:r w:rsidR="00FB06DE" w:rsidRPr="009B66A4">
              <w:rPr>
                <w:rFonts w:ascii="Calibri" w:eastAsia="Times New Roman" w:hAnsi="Calibri" w:cs="Calibri"/>
                <w:kern w:val="0"/>
                <w:sz w:val="20"/>
                <w:szCs w:val="20"/>
                <w14:ligatures w14:val="none"/>
              </w:rPr>
              <w:fldChar w:fldCharType="separate"/>
            </w:r>
            <w:r w:rsidR="00E05EDA" w:rsidRPr="009B66A4">
              <w:rPr>
                <w:rFonts w:ascii="Calibri" w:hAnsi="Calibri" w:cs="Calibri"/>
                <w:sz w:val="20"/>
                <w:szCs w:val="20"/>
              </w:rPr>
              <w:t>[41]</w:t>
            </w:r>
            <w:r w:rsidR="00FB06D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E50900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33B2BAA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6AAE9B0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77DAAD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B0FD1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8E100F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213</w:t>
            </w:r>
          </w:p>
        </w:tc>
        <w:tc>
          <w:tcPr>
            <w:tcW w:w="1682" w:type="dxa"/>
            <w:noWrap/>
            <w:vAlign w:val="center"/>
            <w:hideMark/>
          </w:tcPr>
          <w:p w14:paraId="1AEF8F9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364C86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C6A1A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D90014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222 (100%)</w:t>
            </w:r>
          </w:p>
        </w:tc>
        <w:tc>
          <w:tcPr>
            <w:tcW w:w="1438" w:type="dxa"/>
            <w:noWrap/>
            <w:vAlign w:val="center"/>
            <w:hideMark/>
          </w:tcPr>
          <w:p w14:paraId="688EB59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43DDA35" w14:textId="77777777" w:rsidTr="00A3759F">
        <w:trPr>
          <w:trHeight w:val="20"/>
        </w:trPr>
        <w:tc>
          <w:tcPr>
            <w:tcW w:w="1444" w:type="dxa"/>
            <w:noWrap/>
            <w:vAlign w:val="center"/>
            <w:hideMark/>
          </w:tcPr>
          <w:p w14:paraId="20317497" w14:textId="10D952B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Byiers, 2020</w:t>
            </w:r>
            <w:r w:rsidR="00E05EDA" w:rsidRPr="009B66A4">
              <w:rPr>
                <w:rFonts w:ascii="Calibri" w:eastAsia="Times New Roman" w:hAnsi="Calibri" w:cs="Calibri"/>
                <w:kern w:val="0"/>
                <w:sz w:val="20"/>
                <w:szCs w:val="20"/>
                <w14:ligatures w14:val="none"/>
              </w:rPr>
              <w:fldChar w:fldCharType="begin"/>
            </w:r>
            <w:r w:rsidR="00E05EDA" w:rsidRPr="009B66A4">
              <w:rPr>
                <w:rFonts w:ascii="Calibri" w:eastAsia="Times New Roman" w:hAnsi="Calibri" w:cs="Calibri"/>
                <w:kern w:val="0"/>
                <w:sz w:val="20"/>
                <w:szCs w:val="20"/>
                <w14:ligatures w14:val="none"/>
              </w:rPr>
              <w:instrText xml:space="preserve"> ADDIN ZOTERO_ITEM CSL_CITATION {"citationID":"MTB5BpiE","properties":{"formattedCitation":"[42]","plainCitation":"[42]","noteIndex":0},"citationItems":[{"id":3323,"uris":["http://zotero.org/users/11896629/items/GF48X6J4"],"itemData":{"id":3323,"type":"article-journal","abstract":"Abstract\n            Rett syndrome (RTT) is a severe neurodevelopmental disorder resulting from mutations of the MECP2 gene. Hyperactivity of the hypothalamic-pituitary-adrenal (HPA) axis and abnormal stress responses have been observed in animal models of RTT, but little is known about HPA axis function among individuals with RTT. Diurnal salivary cortisol patterns from 30 females with RTT were examined in relation to mutation type, medication use, and features of the RTT behavioral phenotype. Cortisol patterns were significantly related to mutation severity, anticonvulsant medication status, and bruxism (tooth grinding). This study provides preliminary support for the hypothesis that RTT may be at risk for outcomes associated with aberrant HPA axis function, and that this risk may be mediated by mutation type.","container-title":"American Journal on Intellectual and Developmental Disabilities","DOI":"10.1352/1944-7558-125.5.353","ISSN":"1944-7558, 1944-7515","issue":"5","language":"en","page":"353-368","source":"DOI.org (Crossref)","title":"Associations Among Diurnal Salivary Cortisol Patterns, Medication Use, and Behavioral Phenotype Features in a Community Sample of Rett Syndrome","volume":"125","author":[{"family":"Byiers","given":"Breanne J."},{"family":"Payen","given":"Ameante"},{"family":"Feyma","given":"Timothy"},{"family":"Panoskaltsis-Mortari","given":"Angela"},{"family":"Ehrhardt","given":"Michael J."},{"family":"Symons","given":"Frank J."}],"issued":{"date-parts":[["2020",9,1]]}}}],"schema":"https://github.com/citation-style-language/schema/raw/master/csl-citation.json"} </w:instrText>
            </w:r>
            <w:r w:rsidR="00E05EDA" w:rsidRPr="009B66A4">
              <w:rPr>
                <w:rFonts w:ascii="Calibri" w:eastAsia="Times New Roman" w:hAnsi="Calibri" w:cs="Calibri"/>
                <w:kern w:val="0"/>
                <w:sz w:val="20"/>
                <w:szCs w:val="20"/>
                <w14:ligatures w14:val="none"/>
              </w:rPr>
              <w:fldChar w:fldCharType="separate"/>
            </w:r>
            <w:r w:rsidR="00E05EDA" w:rsidRPr="009B66A4">
              <w:rPr>
                <w:rFonts w:ascii="Calibri" w:hAnsi="Calibri" w:cs="Calibri"/>
                <w:sz w:val="20"/>
                <w:szCs w:val="20"/>
              </w:rPr>
              <w:t>[42]</w:t>
            </w:r>
            <w:r w:rsidR="00E05ED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45281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0C3537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7092019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C5445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7F6DC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465C1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30</w:t>
            </w:r>
          </w:p>
        </w:tc>
        <w:tc>
          <w:tcPr>
            <w:tcW w:w="1682" w:type="dxa"/>
            <w:vAlign w:val="center"/>
            <w:hideMark/>
          </w:tcPr>
          <w:p w14:paraId="1EBA94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13.2</w:t>
            </w:r>
          </w:p>
        </w:tc>
        <w:tc>
          <w:tcPr>
            <w:tcW w:w="1394" w:type="dxa"/>
            <w:noWrap/>
            <w:vAlign w:val="center"/>
            <w:hideMark/>
          </w:tcPr>
          <w:p w14:paraId="76EBF96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5CCD33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30 (100%)</w:t>
            </w:r>
          </w:p>
        </w:tc>
        <w:tc>
          <w:tcPr>
            <w:tcW w:w="1394" w:type="dxa"/>
            <w:noWrap/>
            <w:vAlign w:val="center"/>
            <w:hideMark/>
          </w:tcPr>
          <w:p w14:paraId="2DCEDDB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 (83%)</w:t>
            </w:r>
          </w:p>
        </w:tc>
        <w:tc>
          <w:tcPr>
            <w:tcW w:w="1438" w:type="dxa"/>
            <w:noWrap/>
            <w:vAlign w:val="center"/>
            <w:hideMark/>
          </w:tcPr>
          <w:p w14:paraId="741D54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110894C" w14:textId="77777777" w:rsidTr="00A3759F">
        <w:trPr>
          <w:trHeight w:val="20"/>
        </w:trPr>
        <w:tc>
          <w:tcPr>
            <w:tcW w:w="1444" w:type="dxa"/>
            <w:noWrap/>
            <w:vAlign w:val="center"/>
            <w:hideMark/>
          </w:tcPr>
          <w:p w14:paraId="73E8E4AA" w14:textId="0BBB3DA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Iakovidou, 2020</w:t>
            </w:r>
            <w:r w:rsidR="00E05EDA" w:rsidRPr="009B66A4">
              <w:rPr>
                <w:rFonts w:ascii="Calibri" w:eastAsia="Times New Roman" w:hAnsi="Calibri" w:cs="Calibri"/>
                <w:kern w:val="0"/>
                <w:sz w:val="20"/>
                <w:szCs w:val="20"/>
                <w14:ligatures w14:val="none"/>
              </w:rPr>
              <w:fldChar w:fldCharType="begin"/>
            </w:r>
            <w:r w:rsidR="00E05EDA" w:rsidRPr="009B66A4">
              <w:rPr>
                <w:rFonts w:ascii="Calibri" w:eastAsia="Times New Roman" w:hAnsi="Calibri" w:cs="Calibri"/>
                <w:kern w:val="0"/>
                <w:sz w:val="20"/>
                <w:szCs w:val="20"/>
                <w14:ligatures w14:val="none"/>
              </w:rPr>
              <w:instrText xml:space="preserve"> ADDIN ZOTERO_ITEM CSL_CITATION {"citationID":"qcLZk7Lt","properties":{"formattedCitation":"[43]","plainCitation":"[43]","noteIndex":0},"citationItems":[{"id":3314,"uris":["http://zotero.org/users/11896629/items/IZ3P8JQU"],"itemData":{"id":3314,"type":"article-journal","abstract":"This study explored the use of wearable sensor technology to investigate autonomic function in children with autism spectrum disorder (ASD) and Rett syndrome (RTT). We aimed to identify autonomic biomarkers that can correctly differentiate females with ASD and Rett Syndrome using an innovative methodology that applies machine learning approaches. Our findings suggest that we can predict (95%) the status of ASD/Rett. We conclude that physiological biomarkers may be able to assist in the differentiation between patients with RTT and ASD and could allow the development of timely therapeutic strategies.","container-title":"Journal of Clinical Medicine","DOI":"10.3390/jcm9092842","ISSN":"2077-0383","issue":"9","journalAbbreviation":"JCM","language":"en","page":"2842","source":"DOI.org (Crossref)","title":"Differentiating Females with Rett Syndrome and Those with Multi-Comorbid Autism Spectrum Disorder Using Physiological Biomarkers: A Novel Approach","title-short":"Differentiating Females with Rett Syndrome and Those with Multi-Comorbid Autism Spectrum Disorder Using Physiological Biomarkers","volume":"9","author":[{"family":"Iakovidou","given":"Nantia"},{"family":"Lanzarini","given":"Evamaria"},{"family":"Singh","given":"Jatinder"},{"family":"Fiori","given":"Federico"},{"family":"Santosh","given":"Paramala"}],"issued":{"date-parts":[["2020",9,2]]}}}],"schema":"https://github.com/citation-style-language/schema/raw/master/csl-citation.json"} </w:instrText>
            </w:r>
            <w:r w:rsidR="00E05EDA" w:rsidRPr="009B66A4">
              <w:rPr>
                <w:rFonts w:ascii="Calibri" w:eastAsia="Times New Roman" w:hAnsi="Calibri" w:cs="Calibri"/>
                <w:kern w:val="0"/>
                <w:sz w:val="20"/>
                <w:szCs w:val="20"/>
                <w14:ligatures w14:val="none"/>
              </w:rPr>
              <w:fldChar w:fldCharType="separate"/>
            </w:r>
            <w:r w:rsidR="00E05EDA" w:rsidRPr="009B66A4">
              <w:rPr>
                <w:rFonts w:ascii="Calibri" w:hAnsi="Calibri" w:cs="Calibri"/>
                <w:sz w:val="20"/>
                <w:szCs w:val="20"/>
              </w:rPr>
              <w:t>[43]</w:t>
            </w:r>
            <w:r w:rsidR="00E05ED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8993D8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noWrap/>
            <w:vAlign w:val="center"/>
            <w:hideMark/>
          </w:tcPr>
          <w:p w14:paraId="39DB24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270ECA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D8D54F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202B0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C428D3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w:t>
            </w:r>
          </w:p>
        </w:tc>
        <w:tc>
          <w:tcPr>
            <w:tcW w:w="1682" w:type="dxa"/>
            <w:noWrap/>
            <w:vAlign w:val="center"/>
            <w:hideMark/>
          </w:tcPr>
          <w:p w14:paraId="103123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8298E6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D49C6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394" w:type="dxa"/>
            <w:noWrap/>
            <w:vAlign w:val="center"/>
            <w:hideMark/>
          </w:tcPr>
          <w:p w14:paraId="124D89A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 (40%)</w:t>
            </w:r>
          </w:p>
        </w:tc>
        <w:tc>
          <w:tcPr>
            <w:tcW w:w="1438" w:type="dxa"/>
            <w:noWrap/>
            <w:vAlign w:val="center"/>
            <w:hideMark/>
          </w:tcPr>
          <w:p w14:paraId="43A7A2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118D45F" w14:textId="77777777" w:rsidTr="00A3759F">
        <w:trPr>
          <w:trHeight w:val="20"/>
        </w:trPr>
        <w:tc>
          <w:tcPr>
            <w:tcW w:w="1444" w:type="dxa"/>
            <w:noWrap/>
            <w:vAlign w:val="center"/>
            <w:hideMark/>
          </w:tcPr>
          <w:p w14:paraId="426FE8D3" w14:textId="38F77E5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Pari, 2020</w:t>
            </w:r>
            <w:r w:rsidR="00E05EDA" w:rsidRPr="009B66A4">
              <w:rPr>
                <w:rFonts w:ascii="Calibri" w:eastAsia="Times New Roman" w:hAnsi="Calibri" w:cs="Calibri"/>
                <w:kern w:val="0"/>
                <w:sz w:val="20"/>
                <w:szCs w:val="20"/>
                <w14:ligatures w14:val="none"/>
              </w:rPr>
              <w:fldChar w:fldCharType="begin"/>
            </w:r>
            <w:r w:rsidR="007C0B5C" w:rsidRPr="009B66A4">
              <w:rPr>
                <w:rFonts w:ascii="Calibri" w:eastAsia="Times New Roman" w:hAnsi="Calibri" w:cs="Calibri"/>
                <w:kern w:val="0"/>
                <w:sz w:val="20"/>
                <w:szCs w:val="20"/>
                <w14:ligatures w14:val="none"/>
              </w:rPr>
              <w:instrText xml:space="preserve"> ADDIN ZOTERO_ITEM CSL_CITATION {"citationID":"QJYJE8jj","properties":{"formattedCitation":"[44]","plainCitation":"[44]","noteIndex":0},"citationItems":[{"id":3402,"uris":["http://zotero.org/users/11896629/items/L2QB6SMC"],"itemData":{"id":3402,"type":"article-journal","abstract":"Abstract\n            \n              Background\n              Although lives of parents of girls with Rett syndrome (RTT) are centred on the process of care, in the current literature their perceived levels of stress have been rarely investigated.\n            \n            \n              Methods\n              We analysed levels of stress in a sample of 79 fathers and mothers parenting girls with RTT, who were required to compile the Parenting Stress Index (PSI) questionnaire.\n            \n            \n              Results\n              We found clinical levels of stress in about 39% of fathers, as compared with 44% of the mothers. Severity of RTT, but not other factors such as the genetic domain, presence of epilepsy or scoliosis, predicted Total Stress scores in both fathers’ subsample and mothers’ subsample. A cumulative effect of caring, that is association of higher levels of stress with longer process of care, did also emerge from estimation of smoothing splines.\n            \n            \n              Conclusions\n              Fathers’ resources should be taken more into account, especially in the rehabilitation and socialization process of adults with RTT.","container-title":"Journal of Applied Research in Intellectual Disabilities","DOI":"10.1111/jar.12755","ISSN":"1360-2322, 1468-3148","issue":"6","journalAbbreviation":"Research Intellect Disabil","language":"en","page":"1348-1356","source":"DOI.org (Crossref)","title":"Parenting girls with Rett syndrome: An investigation on self‐perceived levels of stress","title-short":"Parenting girls with Rett syndrome","volume":"33","author":[{"family":"Pari","given":"Elisa"},{"family":"Cozzi","given":"Francesca"},{"family":"Rodocanachi Roidi","given":"Marina Luisa"},{"family":"Grange","given":"Francesca"},{"family":"Toshimori","given":"Kumiko"},{"family":"Ripamonti","given":"Enrico"}],"issued":{"date-parts":[["2020",11]]}}}],"schema":"https://github.com/citation-style-language/schema/raw/master/csl-citation.json"} </w:instrText>
            </w:r>
            <w:r w:rsidR="00E05EDA" w:rsidRPr="009B66A4">
              <w:rPr>
                <w:rFonts w:ascii="Calibri" w:eastAsia="Times New Roman" w:hAnsi="Calibri" w:cs="Calibri"/>
                <w:kern w:val="0"/>
                <w:sz w:val="20"/>
                <w:szCs w:val="20"/>
                <w14:ligatures w14:val="none"/>
              </w:rPr>
              <w:fldChar w:fldCharType="separate"/>
            </w:r>
            <w:r w:rsidR="007C0B5C" w:rsidRPr="009B66A4">
              <w:rPr>
                <w:rFonts w:ascii="Calibri" w:hAnsi="Calibri" w:cs="Calibri"/>
                <w:sz w:val="20"/>
                <w:szCs w:val="20"/>
              </w:rPr>
              <w:t>[44]</w:t>
            </w:r>
            <w:r w:rsidR="00E05ED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A43B3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7250E98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251CFA8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3C2DB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56D0B3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0353D4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79</w:t>
            </w:r>
          </w:p>
        </w:tc>
        <w:tc>
          <w:tcPr>
            <w:tcW w:w="1682" w:type="dxa"/>
            <w:noWrap/>
            <w:vAlign w:val="center"/>
            <w:hideMark/>
          </w:tcPr>
          <w:p w14:paraId="42097A8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hideMark/>
          </w:tcPr>
          <w:p w14:paraId="00AF06A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59E41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79 (100%)</w:t>
            </w:r>
          </w:p>
        </w:tc>
        <w:tc>
          <w:tcPr>
            <w:tcW w:w="1394" w:type="dxa"/>
            <w:noWrap/>
            <w:vAlign w:val="center"/>
            <w:hideMark/>
          </w:tcPr>
          <w:p w14:paraId="333285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3438C6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123642B" w14:textId="77777777" w:rsidTr="00A3759F">
        <w:trPr>
          <w:trHeight w:val="20"/>
        </w:trPr>
        <w:tc>
          <w:tcPr>
            <w:tcW w:w="1444" w:type="dxa"/>
            <w:noWrap/>
            <w:vAlign w:val="center"/>
            <w:hideMark/>
          </w:tcPr>
          <w:p w14:paraId="3097F051" w14:textId="3236F11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Sernheim, 2020</w:t>
            </w:r>
            <w:r w:rsidR="007C0B5C" w:rsidRPr="009B66A4">
              <w:rPr>
                <w:rFonts w:ascii="Calibri" w:eastAsia="Times New Roman" w:hAnsi="Calibri" w:cs="Calibri"/>
                <w:kern w:val="0"/>
                <w:sz w:val="20"/>
                <w:szCs w:val="20"/>
                <w14:ligatures w14:val="none"/>
              </w:rPr>
              <w:fldChar w:fldCharType="begin"/>
            </w:r>
            <w:r w:rsidR="007C0B5C" w:rsidRPr="009B66A4">
              <w:rPr>
                <w:rFonts w:ascii="Calibri" w:eastAsia="Times New Roman" w:hAnsi="Calibri" w:cs="Calibri"/>
                <w:kern w:val="0"/>
                <w:sz w:val="20"/>
                <w:szCs w:val="20"/>
                <w14:ligatures w14:val="none"/>
              </w:rPr>
              <w:instrText xml:space="preserve"> ADDIN ZOTERO_ITEM CSL_CITATION {"citationID":"wTAjRfwA","properties":{"formattedCitation":"[45]","plainCitation":"[45]","noteIndex":0},"citationItems":[{"id":2919,"uris":["http://zotero.org/users/11896629/items/DNZYWCX9"],"itemData":{"id":2919,"type":"article-journal","container-title":"Scandinavian Journal of Occupational Therapy","DOI":"10.1080/11038128.2018.1545046","ISSN":"1103-8128, 1651-2014","issue":"5","journalAbbreviation":"Scandinavian Journal of Occupational Therapy","language":"en","page":"323-335","source":"DOI.org (Crossref)","title":"Rett syndrome: Teenagers’ and young adults’ activities, usage of time and responses during an ordinary week – a diary study","title-short":"Rett syndrome","volume":"27","author":[{"family":"Sernheim","given":"Åsa-Sara"},{"family":"Hemmingsson","given":"Helena"},{"family":"Lidström","given":"Helene"},{"family":"Witt Engerström","given":"I."},{"family":"Liedberg","given":"G. M."}],"issued":{"date-parts":[["2020",7,3]]}}}],"schema":"https://github.com/citation-style-language/schema/raw/master/csl-citation.json"} </w:instrText>
            </w:r>
            <w:r w:rsidR="007C0B5C" w:rsidRPr="009B66A4">
              <w:rPr>
                <w:rFonts w:ascii="Calibri" w:eastAsia="Times New Roman" w:hAnsi="Calibri" w:cs="Calibri"/>
                <w:kern w:val="0"/>
                <w:sz w:val="20"/>
                <w:szCs w:val="20"/>
                <w14:ligatures w14:val="none"/>
              </w:rPr>
              <w:fldChar w:fldCharType="separate"/>
            </w:r>
            <w:r w:rsidR="007C0B5C" w:rsidRPr="009B66A4">
              <w:rPr>
                <w:rFonts w:ascii="Calibri" w:hAnsi="Calibri" w:cs="Calibri"/>
                <w:sz w:val="20"/>
                <w:szCs w:val="20"/>
              </w:rPr>
              <w:t>[45]</w:t>
            </w:r>
            <w:r w:rsidR="007C0B5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FEB28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Sweden</w:t>
            </w:r>
          </w:p>
        </w:tc>
        <w:tc>
          <w:tcPr>
            <w:tcW w:w="1316" w:type="dxa"/>
            <w:noWrap/>
            <w:vAlign w:val="center"/>
            <w:hideMark/>
          </w:tcPr>
          <w:p w14:paraId="0B8DAE6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556789B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01B20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BB8B5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82A9F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w:t>
            </w:r>
          </w:p>
        </w:tc>
        <w:tc>
          <w:tcPr>
            <w:tcW w:w="1682" w:type="dxa"/>
            <w:vAlign w:val="center"/>
            <w:hideMark/>
          </w:tcPr>
          <w:p w14:paraId="4632EB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23.2 (4.8)</w:t>
            </w:r>
          </w:p>
        </w:tc>
        <w:tc>
          <w:tcPr>
            <w:tcW w:w="1394" w:type="dxa"/>
            <w:noWrap/>
            <w:vAlign w:val="center"/>
            <w:hideMark/>
          </w:tcPr>
          <w:p w14:paraId="2A8BAF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BE6C68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394" w:type="dxa"/>
            <w:noWrap/>
            <w:vAlign w:val="center"/>
            <w:hideMark/>
          </w:tcPr>
          <w:p w14:paraId="6F5B95B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78C6C4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9C334B7" w14:textId="77777777" w:rsidTr="00A3759F">
        <w:trPr>
          <w:trHeight w:val="20"/>
        </w:trPr>
        <w:tc>
          <w:tcPr>
            <w:tcW w:w="1444" w:type="dxa"/>
            <w:noWrap/>
            <w:vAlign w:val="center"/>
            <w:hideMark/>
          </w:tcPr>
          <w:p w14:paraId="55C6A72D" w14:textId="1C8E53E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Saikusa, 2020</w:t>
            </w:r>
            <w:r w:rsidR="007C0B5C" w:rsidRPr="009B66A4">
              <w:rPr>
                <w:rFonts w:ascii="Calibri" w:eastAsia="Times New Roman" w:hAnsi="Calibri" w:cs="Calibri"/>
                <w:kern w:val="0"/>
                <w:sz w:val="20"/>
                <w:szCs w:val="20"/>
                <w14:ligatures w14:val="none"/>
              </w:rPr>
              <w:fldChar w:fldCharType="begin"/>
            </w:r>
            <w:r w:rsidR="007C0B5C" w:rsidRPr="009B66A4">
              <w:rPr>
                <w:rFonts w:ascii="Calibri" w:eastAsia="Times New Roman" w:hAnsi="Calibri" w:cs="Calibri"/>
                <w:kern w:val="0"/>
                <w:sz w:val="20"/>
                <w:szCs w:val="20"/>
                <w14:ligatures w14:val="none"/>
              </w:rPr>
              <w:instrText xml:space="preserve"> ADDIN ZOTERO_ITEM CSL_CITATION {"citationID":"8OOjT8ow","properties":{"formattedCitation":"[46]","plainCitation":"[46]","noteIndex":0},"citationItems":[{"id":2895,"uris":["http://zotero.org/users/11896629/items/Z97WY9YX"],"itemData":{"id":2895,"type":"article-journal","container-title":"Brain and Development","DOI":"10.1016/j.braindev.2020.06.012","ISSN":"03877604","issue":"10","journalAbbreviation":"Brain and Development","language":"en","page":"705-712","source":"DOI.org (Crossref)","title":"Meaningful word acquisition is associated with walking ability over 10 years in Rett syndrome","volume":"42","author":[{"family":"Saikusa","given":"Tomoko"},{"family":"Kawaguchi","given":"Machiko"},{"family":"Tanioka (Tetsu T)","given":"Tetsuji"},{"family":"Nabatame (Shin N)","given":"Shin"},{"family":"Takahashi","given":"Satoru"},{"family":"Yuge","given":"Kotaro"},{"family":"Nagamitsu","given":"Shin-ichiro"},{"family":"Takahashi","given":"Tomoyuki"},{"family":"Yamashita","given":"Yushiro"},{"family":"Kobayashi","given":"Yasuyuki"},{"family":"Hirayama","given":"Chisato"},{"family":"Kakuma","given":"Tatsuyuki"},{"family":"Matsuishi","given":"Toyojiro"},{"family":"Itoh","given":"Masayuki"}],"issued":{"date-parts":[["2020",11]]}}}],"schema":"https://github.com/citation-style-language/schema/raw/master/csl-citation.json"} </w:instrText>
            </w:r>
            <w:r w:rsidR="007C0B5C" w:rsidRPr="009B66A4">
              <w:rPr>
                <w:rFonts w:ascii="Calibri" w:eastAsia="Times New Roman" w:hAnsi="Calibri" w:cs="Calibri"/>
                <w:kern w:val="0"/>
                <w:sz w:val="20"/>
                <w:szCs w:val="20"/>
                <w14:ligatures w14:val="none"/>
              </w:rPr>
              <w:fldChar w:fldCharType="separate"/>
            </w:r>
            <w:r w:rsidR="007C0B5C" w:rsidRPr="009B66A4">
              <w:rPr>
                <w:rFonts w:ascii="Calibri" w:hAnsi="Calibri" w:cs="Calibri"/>
                <w:sz w:val="20"/>
                <w:szCs w:val="20"/>
              </w:rPr>
              <w:t>[46]</w:t>
            </w:r>
            <w:r w:rsidR="007C0B5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10856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Japan</w:t>
            </w:r>
          </w:p>
        </w:tc>
        <w:tc>
          <w:tcPr>
            <w:tcW w:w="1316" w:type="dxa"/>
            <w:noWrap/>
            <w:vAlign w:val="center"/>
            <w:hideMark/>
          </w:tcPr>
          <w:p w14:paraId="77E0794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7998CDC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61B9F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CB4088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1B9148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100</w:t>
            </w:r>
          </w:p>
        </w:tc>
        <w:tc>
          <w:tcPr>
            <w:tcW w:w="1682" w:type="dxa"/>
            <w:noWrap/>
            <w:vAlign w:val="center"/>
            <w:hideMark/>
          </w:tcPr>
          <w:p w14:paraId="7454D9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14.5 (11.2)</w:t>
            </w:r>
          </w:p>
        </w:tc>
        <w:tc>
          <w:tcPr>
            <w:tcW w:w="1394" w:type="dxa"/>
            <w:noWrap/>
            <w:vAlign w:val="center"/>
            <w:hideMark/>
          </w:tcPr>
          <w:p w14:paraId="761AA4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71CF0C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100 (100%)</w:t>
            </w:r>
          </w:p>
        </w:tc>
        <w:tc>
          <w:tcPr>
            <w:tcW w:w="1394" w:type="dxa"/>
            <w:noWrap/>
            <w:vAlign w:val="center"/>
            <w:hideMark/>
          </w:tcPr>
          <w:p w14:paraId="2C4F3E3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88 (88%)</w:t>
            </w:r>
          </w:p>
        </w:tc>
        <w:tc>
          <w:tcPr>
            <w:tcW w:w="1438" w:type="dxa"/>
            <w:noWrap/>
            <w:vAlign w:val="center"/>
            <w:hideMark/>
          </w:tcPr>
          <w:p w14:paraId="7713B2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7548523" w14:textId="77777777" w:rsidTr="00A3759F">
        <w:trPr>
          <w:trHeight w:val="20"/>
        </w:trPr>
        <w:tc>
          <w:tcPr>
            <w:tcW w:w="1444" w:type="dxa"/>
            <w:vMerge w:val="restart"/>
            <w:noWrap/>
            <w:vAlign w:val="center"/>
            <w:hideMark/>
          </w:tcPr>
          <w:p w14:paraId="60CA206D" w14:textId="7AB0A4F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Cutri-French, 2020</w:t>
            </w:r>
            <w:r w:rsidR="007C0B5C" w:rsidRPr="009B66A4">
              <w:rPr>
                <w:rFonts w:ascii="Calibri" w:eastAsia="Times New Roman" w:hAnsi="Calibri" w:cs="Calibri"/>
                <w:kern w:val="0"/>
                <w:sz w:val="20"/>
                <w:szCs w:val="20"/>
                <w14:ligatures w14:val="none"/>
              </w:rPr>
              <w:fldChar w:fldCharType="begin"/>
            </w:r>
            <w:r w:rsidR="00237A3B" w:rsidRPr="009B66A4">
              <w:rPr>
                <w:rFonts w:ascii="Calibri" w:eastAsia="Times New Roman" w:hAnsi="Calibri" w:cs="Calibri"/>
                <w:kern w:val="0"/>
                <w:sz w:val="20"/>
                <w:szCs w:val="20"/>
                <w14:ligatures w14:val="none"/>
              </w:rPr>
              <w:instrText xml:space="preserve"> ADDIN ZOTERO_ITEM CSL_CITATION {"citationID":"sy9dDRsx","properties":{"formattedCitation":"[47]","plainCitation":"[47]","noteIndex":0},"citationItems":[{"id":3403,"uris":["http://zotero.org/users/11896629/items/B9VPEJXK"],"itemData":{"id":3403,"type":"article-journal","abstract":"Objective\n              \n                Rett syndrome,\n                CDKL5\n                ‐deficiency disorder,\n                FOXG1\n                disorder, and\n                MECP2\n                duplication disorder are developmental encephalopathies with shared and distinct features. Although they are historically linked, no direct comparison has been performed. The first head‐to‐head comparison of clinical features in these conditions is presented.\n              \n            \n            \n              Methods\n              Comprehensive clinical information was collected from 793 individuals enrolled in the Rett and Rett‐Related Disorders Natural History Study. Clinical features including clinical severity, regression, and seizures were cross‐sectionally compared between diagnoses to test the hypothesis that these are 4 distinct disorders.\n            \n            \n              Results\n              \n                Distinct patterns of clinical severity, seizure onset age, and regression were present. Individuals with\n                CDKL5\n                ‐deficency disorder were the most severely affected and had the youngest age at seizure onset (2 months), whereas children with\n                MECP2\n                duplication syndrome had the oldest median age at seizure onset (64 months) and lowest severity scores. Rett syndrome and\n                FOGX1\n                were intermediate in both features. Smaller head circumference correlates with increased severity in all disorders and earlier age at seizure onset in\n                MECP2\n                duplication syndrome. Developmental regression occurred in all Rett syndrome participants (median = 18 months) but only 23 to 34% of the other disorders. Seizure incidence prior to the baseline visit was highest for\n                CDKL5\n                deficiency disorder (96.2%) and lowest for Rett syndrome (47.5%). Other clinical features including seizure types and frequency differed among groups.\n              \n            \n            \n              Interpretation\n              \n                Although these developmental encephalopathies share many clinical features, clear differences in severity, regression, and seizures warrant considering them as unique disorders. These results will aid in the development of disease‐specific severity scales, precise therapeutics, and future clinical trials.\n                ANN NEUROL 2020;88:396–406.","container-title":"Annals of Neurology","DOI":"10.1002/ana.25797","ISSN":"0364-5134, 1531-8249","issue":"2","journalAbbreviation":"Annals of Neurology","language":"en","page":"396-406","source":"DOI.org (Crossref)","title":"Comparison of Core Features in Four Developmental Encephalopathies in the Rett Natural History Study","volume":"88","author":[{"family":"Cutri‐French","given":"Clare"},{"family":"Armstrong","given":"Dallas"},{"family":"Saby","given":"Joni"},{"family":"Gorman","given":"Casey"},{"family":"Lane","given":"Jane"},{"family":"Fu","given":"Cary"},{"family":"Peters","given":"Sarika U."},{"family":"Percy","given":"Alan"},{"family":"Neul","given":"Jeffrey L."},{"family":"Marsh","given":"Eric D."}],"issued":{"date-parts":[["2020",8]]}}}],"schema":"https://github.com/citation-style-language/schema/raw/master/csl-citation.json"} </w:instrText>
            </w:r>
            <w:r w:rsidR="007C0B5C" w:rsidRPr="009B66A4">
              <w:rPr>
                <w:rFonts w:ascii="Calibri" w:eastAsia="Times New Roman" w:hAnsi="Calibri" w:cs="Calibri"/>
                <w:kern w:val="0"/>
                <w:sz w:val="20"/>
                <w:szCs w:val="20"/>
                <w14:ligatures w14:val="none"/>
              </w:rPr>
              <w:fldChar w:fldCharType="separate"/>
            </w:r>
            <w:r w:rsidR="00237A3B" w:rsidRPr="009B66A4">
              <w:rPr>
                <w:rFonts w:ascii="Calibri" w:hAnsi="Calibri" w:cs="Calibri"/>
                <w:sz w:val="20"/>
                <w:szCs w:val="20"/>
              </w:rPr>
              <w:t>[47]</w:t>
            </w:r>
            <w:r w:rsidR="007C0B5C"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54AEE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66ADB7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vMerge w:val="restart"/>
            <w:noWrap/>
            <w:hideMark/>
          </w:tcPr>
          <w:p w14:paraId="316CC47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34B8CC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309ADB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3FDAB5D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763</w:t>
            </w:r>
          </w:p>
        </w:tc>
        <w:tc>
          <w:tcPr>
            <w:tcW w:w="1682" w:type="dxa"/>
            <w:vAlign w:val="center"/>
            <w:hideMark/>
          </w:tcPr>
          <w:p w14:paraId="447FCA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Typical: Median 13.5 years (IQR 7.2 – 20.9 years)</w:t>
            </w:r>
          </w:p>
        </w:tc>
        <w:tc>
          <w:tcPr>
            <w:tcW w:w="1394" w:type="dxa"/>
            <w:vAlign w:val="center"/>
            <w:hideMark/>
          </w:tcPr>
          <w:p w14:paraId="758014A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Typical: 3 (1%)</w:t>
            </w:r>
          </w:p>
        </w:tc>
        <w:tc>
          <w:tcPr>
            <w:tcW w:w="1394" w:type="dxa"/>
            <w:vAlign w:val="center"/>
            <w:hideMark/>
          </w:tcPr>
          <w:p w14:paraId="4DA63F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Typical: 529 (99%)</w:t>
            </w:r>
          </w:p>
        </w:tc>
        <w:tc>
          <w:tcPr>
            <w:tcW w:w="1394" w:type="dxa"/>
            <w:vMerge w:val="restart"/>
            <w:noWrap/>
            <w:vAlign w:val="center"/>
            <w:hideMark/>
          </w:tcPr>
          <w:p w14:paraId="7DF097C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 (6%)</w:t>
            </w:r>
          </w:p>
        </w:tc>
        <w:tc>
          <w:tcPr>
            <w:tcW w:w="1438" w:type="dxa"/>
            <w:vAlign w:val="center"/>
            <w:hideMark/>
          </w:tcPr>
          <w:p w14:paraId="11FCB91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median (IQR):</w:t>
            </w:r>
          </w:p>
        </w:tc>
      </w:tr>
      <w:tr w:rsidR="00713B5E" w:rsidRPr="009B66A4" w14:paraId="246C234D" w14:textId="77777777" w:rsidTr="00A3759F">
        <w:trPr>
          <w:trHeight w:val="20"/>
        </w:trPr>
        <w:tc>
          <w:tcPr>
            <w:tcW w:w="1444" w:type="dxa"/>
            <w:vMerge/>
            <w:vAlign w:val="center"/>
            <w:hideMark/>
          </w:tcPr>
          <w:p w14:paraId="70845FE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215F6EF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52FE78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9D2B11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2E080E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9BE8ED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E799A6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5A2631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Median 9.8 years (IQR 4.3 – 23.5 years)</w:t>
            </w:r>
          </w:p>
        </w:tc>
        <w:tc>
          <w:tcPr>
            <w:tcW w:w="1394" w:type="dxa"/>
            <w:vAlign w:val="center"/>
            <w:hideMark/>
          </w:tcPr>
          <w:p w14:paraId="06503B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1 (3%)</w:t>
            </w:r>
          </w:p>
        </w:tc>
        <w:tc>
          <w:tcPr>
            <w:tcW w:w="1394" w:type="dxa"/>
            <w:vAlign w:val="center"/>
            <w:hideMark/>
          </w:tcPr>
          <w:p w14:paraId="4EFAA9F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38 (97%)</w:t>
            </w:r>
          </w:p>
        </w:tc>
        <w:tc>
          <w:tcPr>
            <w:tcW w:w="1394" w:type="dxa"/>
            <w:vMerge/>
            <w:vAlign w:val="center"/>
            <w:hideMark/>
          </w:tcPr>
          <w:p w14:paraId="0157AEF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1BE1119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Typical: 24 (19–31)</w:t>
            </w:r>
          </w:p>
        </w:tc>
      </w:tr>
      <w:tr w:rsidR="00713B5E" w:rsidRPr="009B66A4" w14:paraId="1F9A5D77" w14:textId="77777777" w:rsidTr="00A3759F">
        <w:trPr>
          <w:trHeight w:val="20"/>
        </w:trPr>
        <w:tc>
          <w:tcPr>
            <w:tcW w:w="1444" w:type="dxa"/>
            <w:vMerge/>
            <w:vAlign w:val="center"/>
            <w:hideMark/>
          </w:tcPr>
          <w:p w14:paraId="6392F95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1874F8F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A8079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0DD3EF3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68C0B5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59AADB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A0815E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hideMark/>
          </w:tcPr>
          <w:p w14:paraId="533D54D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hideMark/>
          </w:tcPr>
          <w:p w14:paraId="72ECF46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hideMark/>
          </w:tcPr>
          <w:p w14:paraId="0769F38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ign w:val="center"/>
            <w:hideMark/>
          </w:tcPr>
          <w:p w14:paraId="06AF8A1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175128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15 (10–22)</w:t>
            </w:r>
          </w:p>
        </w:tc>
      </w:tr>
      <w:tr w:rsidR="00713B5E" w:rsidRPr="009B66A4" w14:paraId="4BB5CF31" w14:textId="77777777" w:rsidTr="00A3759F">
        <w:trPr>
          <w:trHeight w:val="20"/>
        </w:trPr>
        <w:tc>
          <w:tcPr>
            <w:tcW w:w="1444" w:type="dxa"/>
            <w:vMerge w:val="restart"/>
            <w:noWrap/>
            <w:vAlign w:val="center"/>
            <w:hideMark/>
          </w:tcPr>
          <w:p w14:paraId="00005F46" w14:textId="6EF0BA9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Leven, 2020</w:t>
            </w:r>
            <w:r w:rsidR="00237A3B" w:rsidRPr="009B66A4">
              <w:rPr>
                <w:rFonts w:ascii="Calibri" w:eastAsia="Times New Roman" w:hAnsi="Calibri" w:cs="Calibri"/>
                <w:kern w:val="0"/>
                <w:sz w:val="20"/>
                <w:szCs w:val="20"/>
                <w14:ligatures w14:val="none"/>
              </w:rPr>
              <w:fldChar w:fldCharType="begin"/>
            </w:r>
            <w:r w:rsidR="00F0531C" w:rsidRPr="009B66A4">
              <w:rPr>
                <w:rFonts w:ascii="Calibri" w:eastAsia="Times New Roman" w:hAnsi="Calibri" w:cs="Calibri"/>
                <w:kern w:val="0"/>
                <w:sz w:val="20"/>
                <w:szCs w:val="20"/>
                <w14:ligatures w14:val="none"/>
              </w:rPr>
              <w:instrText xml:space="preserve"> ADDIN ZOTERO_ITEM CSL_CITATION {"citationID":"8cK38rJG","properties":{"formattedCitation":"[48]","plainCitation":"[48]","noteIndex":0},"citationItems":[{"id":3404,"uris":["http://zotero.org/users/11896629/items/Y8DA8G29"],"itemData":{"id":3404,"type":"article-journal","abstract":"Abstract\n            Background Over 80% of individuals suffering from Rett syndrome (RTT) are affected over their life period by sleeping disorders. Little is known about the impact of those on the quality of life and a clinical approach to the treatment of sleep disturbances is lacking.\n            Aims Primary aim was to assess sleep quality in children and adults. Secondary aim was to assess behavioral disorders and their relationship to sleep quality. The medication taken by the subjects was also included.\n            Methods Sleep quality and medication were assessed using the sleeping questionnaire for children with neurological and other complex diseases (SNAKE). Behavioral disorders were assessed by the Rett Syndrome Behavior Questionnaire (RSBQ). Questionnaires were sent to the 700 members of the Elternhilfe für Kinder mit Rett Syndrom in Deutschland e.V. (Rett Aid) of which 287 were included. Questionnaires were filled out by the primary caregivers.\n            Results Sleep quality was rated as very good to good by over 60% of caregivers in contrast to data available in the literature. Behavioral disorders related to regression such as loss of acquired hand skills (p = 0.046) and isolation (p = 0.002) were found to be associated with sleep quality. Melatonin showed a significant association (p = 0.007) with sleep quality.\n            Conclusion Our study showed sleep dysfunction to be less prevalent in RTT-affected individuals than evidence from past studies has suggested. Nevertheless, this remains a subjective assessment of sleep quality and therefore the need to find objective, disorder-specific parameters that measure sleep quality in RTT patients persists.","container-title":"Neuropediatrics","DOI":"10.1055/s-0040-1701693","ISSN":"0174-304X, 1439-1899","issue":"03","journalAbbreviation":"Neuropediatrics","language":"en","page":"198-205","source":"DOI.org (Crossref)","title":"Sleep Quality in Children and Adults with Rett Syndrome","volume":"51","author":[{"family":"Leven","given":"Y."},{"family":"Wiegand","given":"F."},{"family":"Wilken","given":"B."}],"issued":{"date-parts":[["2020",6]]}}}],"schema":"https://github.com/citation-style-language/schema/raw/master/csl-citation.json"} </w:instrText>
            </w:r>
            <w:r w:rsidR="00237A3B" w:rsidRPr="009B66A4">
              <w:rPr>
                <w:rFonts w:ascii="Calibri" w:eastAsia="Times New Roman" w:hAnsi="Calibri" w:cs="Calibri"/>
                <w:kern w:val="0"/>
                <w:sz w:val="20"/>
                <w:szCs w:val="20"/>
                <w14:ligatures w14:val="none"/>
              </w:rPr>
              <w:fldChar w:fldCharType="separate"/>
            </w:r>
            <w:r w:rsidR="00F0531C" w:rsidRPr="009B66A4">
              <w:rPr>
                <w:rFonts w:ascii="Calibri" w:hAnsi="Calibri" w:cs="Calibri"/>
                <w:sz w:val="20"/>
                <w:szCs w:val="20"/>
              </w:rPr>
              <w:t>[48]</w:t>
            </w:r>
            <w:r w:rsidR="00237A3B"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2953A7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Germany</w:t>
            </w:r>
          </w:p>
        </w:tc>
        <w:tc>
          <w:tcPr>
            <w:tcW w:w="1316" w:type="dxa"/>
            <w:vMerge w:val="restart"/>
            <w:noWrap/>
            <w:vAlign w:val="center"/>
            <w:hideMark/>
          </w:tcPr>
          <w:p w14:paraId="093B33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vMerge w:val="restart"/>
            <w:noWrap/>
            <w:hideMark/>
          </w:tcPr>
          <w:p w14:paraId="3F27FEA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7C6004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0A97EF8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01CC94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287</w:t>
            </w:r>
          </w:p>
        </w:tc>
        <w:tc>
          <w:tcPr>
            <w:tcW w:w="1682" w:type="dxa"/>
            <w:vAlign w:val="center"/>
            <w:hideMark/>
          </w:tcPr>
          <w:p w14:paraId="2060AB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Age &lt;18: 9.66 (4.94)</w:t>
            </w:r>
          </w:p>
        </w:tc>
        <w:tc>
          <w:tcPr>
            <w:tcW w:w="1394" w:type="dxa"/>
            <w:vMerge w:val="restart"/>
            <w:noWrap/>
            <w:vAlign w:val="center"/>
            <w:hideMark/>
          </w:tcPr>
          <w:p w14:paraId="3790D9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 (0.4%)</w:t>
            </w:r>
          </w:p>
        </w:tc>
        <w:tc>
          <w:tcPr>
            <w:tcW w:w="1394" w:type="dxa"/>
            <w:vMerge w:val="restart"/>
            <w:noWrap/>
            <w:vAlign w:val="center"/>
            <w:hideMark/>
          </w:tcPr>
          <w:p w14:paraId="4AEEC7B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286 (99.6%)</w:t>
            </w:r>
          </w:p>
        </w:tc>
        <w:tc>
          <w:tcPr>
            <w:tcW w:w="1394" w:type="dxa"/>
            <w:vMerge w:val="restart"/>
            <w:noWrap/>
            <w:vAlign w:val="center"/>
            <w:hideMark/>
          </w:tcPr>
          <w:p w14:paraId="457124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noWrap/>
            <w:vAlign w:val="center"/>
            <w:hideMark/>
          </w:tcPr>
          <w:p w14:paraId="2099EA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AA102AD" w14:textId="77777777" w:rsidTr="00A3759F">
        <w:trPr>
          <w:trHeight w:val="20"/>
        </w:trPr>
        <w:tc>
          <w:tcPr>
            <w:tcW w:w="1444" w:type="dxa"/>
            <w:vMerge/>
            <w:vAlign w:val="center"/>
            <w:hideMark/>
          </w:tcPr>
          <w:p w14:paraId="18DA610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0CC9BF7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2C2CAE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5EE491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517612E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9BF056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03EF4B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3A3F08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Age &gt;18: 27.18 (6.56)</w:t>
            </w:r>
          </w:p>
        </w:tc>
        <w:tc>
          <w:tcPr>
            <w:tcW w:w="1394" w:type="dxa"/>
            <w:vMerge/>
            <w:vAlign w:val="center"/>
            <w:hideMark/>
          </w:tcPr>
          <w:p w14:paraId="1F33A98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BFC392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62A3A9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0D171C3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5EBD9865" w14:textId="77777777" w:rsidTr="00A3759F">
        <w:trPr>
          <w:trHeight w:val="20"/>
        </w:trPr>
        <w:tc>
          <w:tcPr>
            <w:tcW w:w="1444" w:type="dxa"/>
            <w:noWrap/>
            <w:vAlign w:val="center"/>
            <w:hideMark/>
          </w:tcPr>
          <w:p w14:paraId="1DF08B41" w14:textId="16DEDBB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Clark, 2020</w:t>
            </w:r>
            <w:r w:rsidR="00F0531C" w:rsidRPr="009B66A4">
              <w:rPr>
                <w:rFonts w:ascii="Calibri" w:eastAsia="Times New Roman" w:hAnsi="Calibri" w:cs="Calibri"/>
                <w:kern w:val="0"/>
                <w:sz w:val="20"/>
                <w:szCs w:val="20"/>
                <w14:ligatures w14:val="none"/>
              </w:rPr>
              <w:fldChar w:fldCharType="begin"/>
            </w:r>
            <w:r w:rsidR="00F0531C" w:rsidRPr="009B66A4">
              <w:rPr>
                <w:rFonts w:ascii="Calibri" w:eastAsia="Times New Roman" w:hAnsi="Calibri" w:cs="Calibri"/>
                <w:kern w:val="0"/>
                <w:sz w:val="20"/>
                <w:szCs w:val="20"/>
                <w14:ligatures w14:val="none"/>
              </w:rPr>
              <w:instrText xml:space="preserve"> ADDIN ZOTERO_ITEM CSL_CITATION {"citationID":"aEw4gIsC","properties":{"formattedCitation":"[49]","plainCitation":"[49]","noteIndex":0},"citationItems":[{"id":3327,"uris":["http://zotero.org/users/11896629/items/2RRPRMZ5"],"itemData":{"id":3327,"type":"article-journal","abstract":"Aim\n              To identify factors associated with baseline prolonged corrected QT (QTc) and higher risk of QTc prolongation during follow‐up in patients with Rett syndrome (RTT).\n            \n            \n              Method\n              \n                A retrospective review of patients receiving an electrocardiogram (ECG) between June 2012 and June 2018 was performed. Age, methyl‐CpG binding protein 2 gene (\n                MECP2\n                ) mutation, RTT Severity Scale (RSSS) score, breathing abnormalities, seizure frequency, medications, and ECG parameters were collected. Prolonged QTc was defined as greater than or equal to 460ms. Comparisons at baseline and during follow‐up were made.\n              \n            \n            \n              Results\n              \n                In total, 129 unique patients (all female) had 349 ECGs. At baseline, 12 (9.3%) had a prolonged QTc (median 474ms, interquartile range 470–486ms) and were more likely to have moderate/severe breathing abnormalities (66.7% vs 24.8%;\n                p\n                =0.005) and take selective serotonin reuptake inhibitors (SSRIs) (41.7% vs 15.4%;\n                p\n                =0.04). There was no difference in age, RSSS score, seizures, or mutation. Twenty‐six developed prolonged QTc during a median follow‐up of 1 year 7 months (interquartile range 0–3y 6mo). QTc prolongation was associated with\n                p.(Thr158Met)\n                mutation versus the remaining six common mutations (hazard ratio 4.1, 95% confidence interval 1.4–12.0;\n                p\n                =0.01) but not with age, RSSS score, seizures, breathing abnormalities, or SSRIs.\n              \n            \n            \n              Interpretation\n              \n                Breathing abnormalities and SSRIs were associated with baseline QTc prolongation and those with\n                p.(Thr158Met)\n                mutation were more likely to develop prolonged QTc over time. Identification of patients with prolonged QTc warrants increased clinical monitoring.\n              \n            \n            \n              What this paper adds\n              \n                \n                  \n                    Breathing abnormalities and selective serotonin reuptake inhibitors are associated with prolonged baseline corrected QT (QTc).\n                  \n                  \n                    \n                      Development of QTc prolongation is associated with the\n                      p.(Thr158Met)\n                      mutation.\n                    \n                  \n                \n              \n            \n          , \n            What this paper adds\n            \n              \n                \n                  Breathing abnormalities and selective serotonin reuptake inhibitors are associated with prolonged baseline corrected QT (QTc).\n                \n                \n                  \n                    Development of QTc prolongation is associated with the\n                    p.(Thr158Met)\n                    mutation.\n                  \n                \n              \n            \n            \n              This article is commented on by Kaufman on\n              page 775\n              of this issue.","container-title":"Developmental Medicine &amp; Child Neurology","DOI":"10.1111/dmcn.14419","ISSN":"0012-1622, 1469-8749","issue":"7","journalAbbreviation":"Develop Med Child Neuro","language":"en","page":"833-836","source":"DOI.org (Crossref)","title":"Serial follow‐up of corrected QT interval in Rett syndrome","volume":"62","author":[{"family":"Clark","given":"Bradley C"},{"family":"Kopp","given":"Adam"},{"family":"Morey","given":"Wenzhu"},{"family":"Djukic","given":"Aleksandra"}],"issued":{"date-parts":[["2020",7]]}}}],"schema":"https://github.com/citation-style-language/schema/raw/master/csl-citation.json"} </w:instrText>
            </w:r>
            <w:r w:rsidR="00F0531C" w:rsidRPr="009B66A4">
              <w:rPr>
                <w:rFonts w:ascii="Calibri" w:eastAsia="Times New Roman" w:hAnsi="Calibri" w:cs="Calibri"/>
                <w:kern w:val="0"/>
                <w:sz w:val="20"/>
                <w:szCs w:val="20"/>
                <w14:ligatures w14:val="none"/>
              </w:rPr>
              <w:fldChar w:fldCharType="separate"/>
            </w:r>
            <w:r w:rsidR="00F0531C" w:rsidRPr="009B66A4">
              <w:rPr>
                <w:rFonts w:ascii="Calibri" w:hAnsi="Calibri" w:cs="Calibri"/>
                <w:sz w:val="20"/>
                <w:szCs w:val="20"/>
              </w:rPr>
              <w:t>[49]</w:t>
            </w:r>
            <w:r w:rsidR="00F0531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01AFF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16C3D9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72816B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6A0ACD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B7731C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6BC6F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129</w:t>
            </w:r>
          </w:p>
        </w:tc>
        <w:tc>
          <w:tcPr>
            <w:tcW w:w="1682" w:type="dxa"/>
            <w:vAlign w:val="center"/>
            <w:hideMark/>
          </w:tcPr>
          <w:p w14:paraId="66034A0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9.2 (Range: 5.0 – 13.8)</w:t>
            </w:r>
          </w:p>
        </w:tc>
        <w:tc>
          <w:tcPr>
            <w:tcW w:w="1394" w:type="dxa"/>
            <w:noWrap/>
            <w:vAlign w:val="center"/>
            <w:hideMark/>
          </w:tcPr>
          <w:p w14:paraId="273AC4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49549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129 (100%)</w:t>
            </w:r>
          </w:p>
        </w:tc>
        <w:tc>
          <w:tcPr>
            <w:tcW w:w="1394" w:type="dxa"/>
            <w:noWrap/>
            <w:vAlign w:val="center"/>
            <w:hideMark/>
          </w:tcPr>
          <w:p w14:paraId="3E3728E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652886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RSSS, median (range): 10 (8–13)</w:t>
            </w:r>
          </w:p>
        </w:tc>
      </w:tr>
      <w:tr w:rsidR="00A3759F" w:rsidRPr="009B66A4" w14:paraId="08A76166" w14:textId="77777777" w:rsidTr="00AC347E">
        <w:trPr>
          <w:trHeight w:val="1390"/>
        </w:trPr>
        <w:tc>
          <w:tcPr>
            <w:tcW w:w="1444" w:type="dxa"/>
            <w:vMerge w:val="restart"/>
            <w:noWrap/>
            <w:vAlign w:val="center"/>
            <w:hideMark/>
          </w:tcPr>
          <w:p w14:paraId="2A8C531A" w14:textId="5DE34189"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Caffarelli, 2020</w:t>
            </w:r>
            <w:r w:rsidRPr="009B66A4">
              <w:rPr>
                <w:rFonts w:ascii="Calibri" w:eastAsia="Times New Roman" w:hAnsi="Calibri" w:cs="Calibri"/>
                <w:kern w:val="0"/>
                <w:sz w:val="20"/>
                <w:szCs w:val="20"/>
                <w14:ligatures w14:val="none"/>
              </w:rPr>
              <w:fldChar w:fldCharType="begin"/>
            </w:r>
            <w:r w:rsidRPr="009B66A4">
              <w:rPr>
                <w:rFonts w:ascii="Calibri" w:eastAsia="Times New Roman" w:hAnsi="Calibri" w:cs="Calibri"/>
                <w:kern w:val="0"/>
                <w:sz w:val="20"/>
                <w:szCs w:val="20"/>
                <w14:ligatures w14:val="none"/>
              </w:rPr>
              <w:instrText xml:space="preserve"> ADDIN ZOTERO_ITEM CSL_CITATION {"citationID":"hOtmIWFh","properties":{"formattedCitation":"[50]","plainCitation":"[50]","noteIndex":0},"citationItems":[{"id":3405,"uris":["http://zotero.org/users/11896629/items/PNJ2KDCF"],"itemData":{"id":3405,"type":"article-journal","abstract":"Abstract\n            \n              Background\n              More than 95% of individuals with RTT have mutations in methyl-CpG-binding protein 2 (MECP2), whose protein product modulates gene transcription. The disorder is caused by mutations in a single gene and the disease severity in affected individuals can be quite variable. Specific MECP2 mutations may lead phenotypic variability and different degrees of disease severity. It is known that low bone mass is a frequent and early complication of subjects with Rett syndrome. As a consequence of the low bone mass Rett girls are at an increased risk of fragility fractures. This study aimed to investigate if specific MECP2 mutations may affects the degree of involvement of the bone status in Rett subjects.\n            \n            \n              Methods\n              In 232 women with Rett syndrome (mean age 13.8 ± 8.3 yrs) we measured bone mineral density at whole body and at femur (BMD-FN and BMD-TH) by using a DXA machine (Hologic QDR 4500). QUS parameters were assessed at phalanxes by Bone Profiler-IGEA (amplitude dependent speed of sound: AD-SoS and bone transmission time: BTT). Moreover, ambulation capacity (independent or assisted), fracture history and presence of scoliosis were assessed. We divided the subjects with the most common point mutations in two group based on genotype-phenotype severity; in particular, there has been consensus in recognising that the mutations R106T, R168X, R255X, R270X are considered more severe.\n            \n            \n              Results\n              \n                As aspect, BMD-WB, BMD-FN and BMD-TH were lower in subjects with Rett syndrome that present the most severe mutations with respect to subjects with Rett syndrome with less severe mutations, but the difference was statistically significant only for BMD-FN and BMD-TH (\n                p\n                 &lt; 0.05). Also both AD-SoS and BTT values were lower in subjects that present the most severe mutations with respect to less severe mutations but the difference was not statistically significant. Moreover, subjects with Rett syndrome with more severe mutations present a higher prevalence of scoliosis (\n                p\n                 &lt; 0.05) and of inability to walk (\n                p\n                 &lt; 0.05).\n              \n            \n            \n              Conclusion\n              This study confirms that MECP2 mutation type is a strong predictor of disease severity in subjects with Rett syndrome. In particular, the subjects with more severe mutation present a greater deterioration of bone status, and a higher prevalence of scoliosis and inability to walk.","container-title":"BMC Medical Genetics","DOI":"10.1186/s12881-020-0960-2","ISSN":"1471-2350","issue":"1","journalAbbreviation":"BMC Med Genet","language":"en","page":"21","source":"DOI.org (Crossref)","title":"Methyl-CpG-binding protein 2 (MECP2) mutation type is associated with bone disease severity in Rett syndrome","volume":"21","author":[{"family":"Caffarelli","given":"Carla"},{"family":"Gonnelli","given":"Stefano"},{"family":"Pitinca","given":"Maria Dea Tomai"},{"family":"Camarri","given":"Silvia"},{"family":"Al Refaie","given":"Antonella"},{"family":"Hayek","given":"Joussef"},{"family":"Nuti","given":"Ranuccio"}],"issued":{"date-parts":[["2020",12]]}}}],"schema":"https://github.com/citation-style-language/schema/raw/master/csl-citation.json"} </w:instrText>
            </w:r>
            <w:r w:rsidRPr="009B66A4">
              <w:rPr>
                <w:rFonts w:ascii="Calibri" w:eastAsia="Times New Roman" w:hAnsi="Calibri" w:cs="Calibri"/>
                <w:kern w:val="0"/>
                <w:sz w:val="20"/>
                <w:szCs w:val="20"/>
                <w14:ligatures w14:val="none"/>
              </w:rPr>
              <w:fldChar w:fldCharType="separate"/>
            </w:r>
            <w:r w:rsidRPr="009B66A4">
              <w:rPr>
                <w:rFonts w:ascii="Calibri" w:hAnsi="Calibri" w:cs="Calibri"/>
                <w:sz w:val="20"/>
                <w:szCs w:val="20"/>
              </w:rPr>
              <w:t>[50]</w:t>
            </w:r>
            <w:r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645CE250"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Merge w:val="restart"/>
            <w:noWrap/>
            <w:vAlign w:val="center"/>
            <w:hideMark/>
          </w:tcPr>
          <w:p w14:paraId="5A62F70B"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vMerge w:val="restart"/>
            <w:noWrap/>
            <w:hideMark/>
          </w:tcPr>
          <w:p w14:paraId="21AC54FD"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6B452847"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572718BD"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11ECE8B3"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w:t>
            </w:r>
          </w:p>
        </w:tc>
        <w:tc>
          <w:tcPr>
            <w:tcW w:w="1682" w:type="dxa"/>
            <w:vAlign w:val="center"/>
            <w:hideMark/>
          </w:tcPr>
          <w:p w14:paraId="672DDB2F"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More severe mutations (R106T,</w:t>
            </w:r>
          </w:p>
          <w:p w14:paraId="48A7CCEE" w14:textId="653E8E36"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R168X, R255X and R270X): 13.7 (8.3)</w:t>
            </w:r>
          </w:p>
        </w:tc>
        <w:tc>
          <w:tcPr>
            <w:tcW w:w="1394" w:type="dxa"/>
            <w:vMerge w:val="restart"/>
            <w:noWrap/>
            <w:vAlign w:val="center"/>
            <w:hideMark/>
          </w:tcPr>
          <w:p w14:paraId="686D9F40"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50833D74"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 (100%)</w:t>
            </w:r>
          </w:p>
        </w:tc>
        <w:tc>
          <w:tcPr>
            <w:tcW w:w="1394" w:type="dxa"/>
            <w:vMerge w:val="restart"/>
            <w:noWrap/>
            <w:vAlign w:val="center"/>
            <w:hideMark/>
          </w:tcPr>
          <w:p w14:paraId="55D977DC"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 (100%)</w:t>
            </w:r>
          </w:p>
        </w:tc>
        <w:tc>
          <w:tcPr>
            <w:tcW w:w="1438" w:type="dxa"/>
            <w:vMerge w:val="restart"/>
            <w:noWrap/>
            <w:vAlign w:val="center"/>
            <w:hideMark/>
          </w:tcPr>
          <w:p w14:paraId="12D82245"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A3759F" w:rsidRPr="009B66A4" w14:paraId="7C1EEF14" w14:textId="77777777" w:rsidTr="00D7615A">
        <w:trPr>
          <w:trHeight w:val="1160"/>
        </w:trPr>
        <w:tc>
          <w:tcPr>
            <w:tcW w:w="1444" w:type="dxa"/>
            <w:vMerge/>
            <w:vAlign w:val="center"/>
            <w:hideMark/>
          </w:tcPr>
          <w:p w14:paraId="387017D6"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F4F5125"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0E8E190"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1224B72"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7BB5311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129805E"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02E92C1"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24C49477" w14:textId="7777777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Less severe mutations (R133C, R294X,</w:t>
            </w:r>
          </w:p>
          <w:p w14:paraId="75C0D2A6" w14:textId="248051A7" w:rsidR="00A3759F"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R306C and T158 M): 13.9 (8.4)</w:t>
            </w:r>
          </w:p>
        </w:tc>
        <w:tc>
          <w:tcPr>
            <w:tcW w:w="1394" w:type="dxa"/>
            <w:vMerge/>
            <w:vAlign w:val="center"/>
            <w:hideMark/>
          </w:tcPr>
          <w:p w14:paraId="015E10A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0B1DBAB"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244F269"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7A146977" w14:textId="77777777" w:rsidR="00A3759F" w:rsidRPr="009B66A4" w:rsidRDefault="00A3759F" w:rsidP="00302A4B">
            <w:pPr>
              <w:spacing w:after="0" w:line="240" w:lineRule="auto"/>
              <w:rPr>
                <w:rFonts w:ascii="Calibri" w:eastAsia="Times New Roman" w:hAnsi="Calibri" w:cs="Calibri"/>
                <w:kern w:val="0"/>
                <w:sz w:val="20"/>
                <w:szCs w:val="20"/>
                <w14:ligatures w14:val="none"/>
              </w:rPr>
            </w:pPr>
          </w:p>
        </w:tc>
      </w:tr>
      <w:tr w:rsidR="00713B5E" w:rsidRPr="009B66A4" w14:paraId="6E1B0C54" w14:textId="77777777" w:rsidTr="00A3759F">
        <w:trPr>
          <w:trHeight w:val="20"/>
        </w:trPr>
        <w:tc>
          <w:tcPr>
            <w:tcW w:w="1444" w:type="dxa"/>
            <w:noWrap/>
            <w:vAlign w:val="center"/>
            <w:hideMark/>
          </w:tcPr>
          <w:p w14:paraId="5116E723" w14:textId="6E704C8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Henriksen, 2020</w:t>
            </w:r>
            <w:r w:rsidR="003305CA" w:rsidRPr="009B66A4">
              <w:rPr>
                <w:rFonts w:ascii="Calibri" w:eastAsia="Times New Roman" w:hAnsi="Calibri" w:cs="Calibri"/>
                <w:kern w:val="0"/>
                <w:sz w:val="20"/>
                <w:szCs w:val="20"/>
                <w14:ligatures w14:val="none"/>
              </w:rPr>
              <w:fldChar w:fldCharType="begin"/>
            </w:r>
            <w:r w:rsidR="003305CA" w:rsidRPr="009B66A4">
              <w:rPr>
                <w:rFonts w:ascii="Calibri" w:eastAsia="Times New Roman" w:hAnsi="Calibri" w:cs="Calibri"/>
                <w:kern w:val="0"/>
                <w:sz w:val="20"/>
                <w:szCs w:val="20"/>
                <w14:ligatures w14:val="none"/>
              </w:rPr>
              <w:instrText xml:space="preserve"> ADDIN ZOTERO_ITEM CSL_CITATION {"citationID":"YjA90lAu","properties":{"formattedCitation":"[51]","plainCitation":"[51]","noteIndex":0},"citationItems":[{"id":2920,"uris":["http://zotero.org/users/11896629/items/BATCNN6J"],"itemData":{"id":2920,"type":"article-journal","container-title":"Developmental Neurorehabilitation","DOI":"10.1080/17518423.2019.1646341","ISSN":"1751-8423, 1751-8431","issue":"2","journalAbbreviation":"Developmental Neurorehabilitation","language":"en","page":"106-112","source":"DOI.org (Crossref)","title":"Medical Issues in Adults with Rett Syndrome – A National Survey","volume":"23","author":[{"family":"Henriksen","given":"Mari Wold"},{"family":"Breck","given":"Hilde"},{"family":"Von Tetzchner","given":"Stephen"},{"family":"Paus","given":"Benedicte"},{"family":"Skjeldal","given":"Ola H."}],"issued":{"date-parts":[["2020",2,17]]}}}],"schema":"https://github.com/citation-style-language/schema/raw/master/csl-citation.json"} </w:instrText>
            </w:r>
            <w:r w:rsidR="003305CA" w:rsidRPr="009B66A4">
              <w:rPr>
                <w:rFonts w:ascii="Calibri" w:eastAsia="Times New Roman" w:hAnsi="Calibri" w:cs="Calibri"/>
                <w:kern w:val="0"/>
                <w:sz w:val="20"/>
                <w:szCs w:val="20"/>
                <w14:ligatures w14:val="none"/>
              </w:rPr>
              <w:fldChar w:fldCharType="separate"/>
            </w:r>
            <w:r w:rsidR="003305CA" w:rsidRPr="009B66A4">
              <w:rPr>
                <w:rFonts w:ascii="Calibri" w:hAnsi="Calibri" w:cs="Calibri"/>
                <w:sz w:val="20"/>
                <w:szCs w:val="20"/>
              </w:rPr>
              <w:t>[51]</w:t>
            </w:r>
            <w:r w:rsidR="003305C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6ADF7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Norway</w:t>
            </w:r>
          </w:p>
        </w:tc>
        <w:tc>
          <w:tcPr>
            <w:tcW w:w="1316" w:type="dxa"/>
            <w:noWrap/>
            <w:vAlign w:val="center"/>
            <w:hideMark/>
          </w:tcPr>
          <w:p w14:paraId="0B0AC4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371EA6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DE91D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31CEDD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7DD62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79</w:t>
            </w:r>
          </w:p>
        </w:tc>
        <w:tc>
          <w:tcPr>
            <w:tcW w:w="1682" w:type="dxa"/>
            <w:noWrap/>
            <w:vAlign w:val="center"/>
            <w:hideMark/>
          </w:tcPr>
          <w:p w14:paraId="331757C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 (15)</w:t>
            </w:r>
          </w:p>
        </w:tc>
        <w:tc>
          <w:tcPr>
            <w:tcW w:w="1394" w:type="dxa"/>
            <w:noWrap/>
            <w:vAlign w:val="center"/>
            <w:hideMark/>
          </w:tcPr>
          <w:p w14:paraId="218E6F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06648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79 (100%)</w:t>
            </w:r>
          </w:p>
        </w:tc>
        <w:tc>
          <w:tcPr>
            <w:tcW w:w="1394" w:type="dxa"/>
            <w:vAlign w:val="center"/>
            <w:hideMark/>
          </w:tcPr>
          <w:p w14:paraId="1EFB20B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 (94%)</w:t>
            </w:r>
          </w:p>
        </w:tc>
        <w:tc>
          <w:tcPr>
            <w:tcW w:w="1438" w:type="dxa"/>
            <w:vAlign w:val="center"/>
            <w:hideMark/>
          </w:tcPr>
          <w:p w14:paraId="232218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RSSS, median(range): </w:t>
            </w:r>
            <w:r w:rsidRPr="009B66A4">
              <w:rPr>
                <w:rFonts w:ascii="Calibri" w:eastAsia="Times New Roman" w:hAnsi="Calibri" w:cs="Calibri"/>
                <w:kern w:val="0"/>
                <w:sz w:val="20"/>
                <w:szCs w:val="20"/>
                <w14:ligatures w14:val="none"/>
              </w:rPr>
              <w:lastRenderedPageBreak/>
              <w:t>13.12 (12.29–13.95)</w:t>
            </w:r>
          </w:p>
        </w:tc>
      </w:tr>
      <w:tr w:rsidR="00713B5E" w:rsidRPr="009B66A4" w14:paraId="07603EB4" w14:textId="77777777" w:rsidTr="00A3759F">
        <w:trPr>
          <w:trHeight w:val="20"/>
        </w:trPr>
        <w:tc>
          <w:tcPr>
            <w:tcW w:w="1444" w:type="dxa"/>
            <w:noWrap/>
            <w:vAlign w:val="center"/>
            <w:hideMark/>
          </w:tcPr>
          <w:p w14:paraId="1EB4E948" w14:textId="1BB68E9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Di Pierro, 2020</w:t>
            </w:r>
            <w:r w:rsidR="003305CA" w:rsidRPr="009B66A4">
              <w:rPr>
                <w:rFonts w:ascii="Calibri" w:eastAsia="Times New Roman" w:hAnsi="Calibri" w:cs="Calibri"/>
                <w:kern w:val="0"/>
                <w:sz w:val="20"/>
                <w:szCs w:val="20"/>
                <w14:ligatures w14:val="none"/>
              </w:rPr>
              <w:fldChar w:fldCharType="begin"/>
            </w:r>
            <w:r w:rsidR="003305CA" w:rsidRPr="009B66A4">
              <w:rPr>
                <w:rFonts w:ascii="Calibri" w:eastAsia="Times New Roman" w:hAnsi="Calibri" w:cs="Calibri"/>
                <w:kern w:val="0"/>
                <w:sz w:val="20"/>
                <w:szCs w:val="20"/>
                <w14:ligatures w14:val="none"/>
              </w:rPr>
              <w:instrText xml:space="preserve"> ADDIN ZOTERO_ITEM CSL_CITATION {"citationID":"0AwPUppT","properties":{"formattedCitation":"[52]","plainCitation":"[52]","noteIndex":0},"citationItems":[{"id":3324,"uris":["http://zotero.org/users/11896629/items/H659QHBA"],"itemData":{"id":3324,"type":"article-journal","container-title":"Molecular and Cellular Biochemistry","DOI":"10.1007/s11010-019-03633-5","ISSN":"0300-8177, 1573-4919","issue":"1-2","journalAbbreviation":"Mol Cell Biochem","language":"en","page":"101-113","source":"DOI.org (Crossref)","title":"Effects of oral administration of common antioxidant supplements on the energy metabolism of red blood cells. Attenuation of oxidative stress-induced changes in Rett syndrome erythrocytes by CoQ10","volume":"463","author":[{"family":"Di Pierro","given":"Donato"},{"family":"Ciaccio","given":"Chiara"},{"family":"Sbardella","given":"Diego"},{"family":"Tundo","given":"Grazia Raffaella"},{"family":"Bernardini","given":"Roberta"},{"family":"Curatolo","given":"Paolo"},{"family":"Galasso","given":"Cinzia"},{"family":"Pironi","given":"Virginia"},{"family":"Coletta","given":"Massimiliano"},{"family":"Marini","given":"Stefano"}],"issued":{"date-parts":[["2020",1]]}}}],"schema":"https://github.com/citation-style-language/schema/raw/master/csl-citation.json"} </w:instrText>
            </w:r>
            <w:r w:rsidR="003305CA" w:rsidRPr="009B66A4">
              <w:rPr>
                <w:rFonts w:ascii="Calibri" w:eastAsia="Times New Roman" w:hAnsi="Calibri" w:cs="Calibri"/>
                <w:kern w:val="0"/>
                <w:sz w:val="20"/>
                <w:szCs w:val="20"/>
                <w14:ligatures w14:val="none"/>
              </w:rPr>
              <w:fldChar w:fldCharType="separate"/>
            </w:r>
            <w:r w:rsidR="003305CA" w:rsidRPr="009B66A4">
              <w:rPr>
                <w:rFonts w:ascii="Calibri" w:hAnsi="Calibri" w:cs="Calibri"/>
                <w:sz w:val="20"/>
                <w:szCs w:val="20"/>
              </w:rPr>
              <w:t>[52]</w:t>
            </w:r>
            <w:r w:rsidR="003305C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D661E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71BBB8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49B4A98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2D8CE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27E92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CC2558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w:t>
            </w:r>
          </w:p>
        </w:tc>
        <w:tc>
          <w:tcPr>
            <w:tcW w:w="1682" w:type="dxa"/>
            <w:noWrap/>
            <w:vAlign w:val="center"/>
            <w:hideMark/>
          </w:tcPr>
          <w:p w14:paraId="1658D2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89213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7129D5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02A3E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26 (100%)</w:t>
            </w:r>
          </w:p>
        </w:tc>
        <w:tc>
          <w:tcPr>
            <w:tcW w:w="1438" w:type="dxa"/>
            <w:noWrap/>
            <w:vAlign w:val="center"/>
            <w:hideMark/>
          </w:tcPr>
          <w:p w14:paraId="5F9F8F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B7144E1" w14:textId="77777777" w:rsidTr="00A3759F">
        <w:trPr>
          <w:trHeight w:val="20"/>
        </w:trPr>
        <w:tc>
          <w:tcPr>
            <w:tcW w:w="1444" w:type="dxa"/>
            <w:noWrap/>
            <w:vAlign w:val="center"/>
            <w:hideMark/>
          </w:tcPr>
          <w:p w14:paraId="12523232" w14:textId="21BCE97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Chou, 2019</w:t>
            </w:r>
            <w:r w:rsidR="003305CA" w:rsidRPr="009B66A4">
              <w:rPr>
                <w:rFonts w:ascii="Calibri" w:eastAsia="Times New Roman" w:hAnsi="Calibri" w:cs="Calibri"/>
                <w:kern w:val="0"/>
                <w:sz w:val="20"/>
                <w:szCs w:val="20"/>
                <w14:ligatures w14:val="none"/>
              </w:rPr>
              <w:fldChar w:fldCharType="begin"/>
            </w:r>
            <w:r w:rsidR="002E6C06" w:rsidRPr="009B66A4">
              <w:rPr>
                <w:rFonts w:ascii="Calibri" w:eastAsia="Times New Roman" w:hAnsi="Calibri" w:cs="Calibri"/>
                <w:kern w:val="0"/>
                <w:sz w:val="20"/>
                <w:szCs w:val="20"/>
                <w14:ligatures w14:val="none"/>
              </w:rPr>
              <w:instrText xml:space="preserve"> ADDIN ZOTERO_ITEM CSL_CITATION {"citationID":"RrDwo29S","properties":{"formattedCitation":"[53]","plainCitation":"[53]","noteIndex":0},"citationItems":[{"id":3407,"uris":["http://zotero.org/users/11896629/items/EFIC2ZI7"],"itemData":{"id":3407,"type":"article-journal","container-title":"Journal of the Formosan Medical Association","DOI":"10.1016/j.jfma.2019.01.001","ISSN":"09296646","issue":"12","journalAbbreviation":"Journal of the Formosan Medical Association","language":"en","page":"1633-1643","source":"DOI.org (Crossref)","title":"The effectiveness of music therapy for individuals with Rett syndrome and their families","volume":"118","author":[{"family":"Chou","given":"Ming-Yi"},{"family":"Chang","given":"Nai-Wen"},{"family":"Chen","given":"Chieh"},{"family":"Lee","given":"Wang-Tso"},{"family":"Hsin","given":"Yi-Jung"},{"family":"Siu","given":"Ka-Kit"},{"family":"Chen","given":"Chih-Jen"},{"family":"Wang","given":"Liang-Jen"},{"family":"Hung","given":"Pi-Lien"}],"issued":{"date-parts":[["2019",12]]}}}],"schema":"https://github.com/citation-style-language/schema/raw/master/csl-citation.json"} </w:instrText>
            </w:r>
            <w:r w:rsidR="003305CA" w:rsidRPr="009B66A4">
              <w:rPr>
                <w:rFonts w:ascii="Calibri" w:eastAsia="Times New Roman" w:hAnsi="Calibri" w:cs="Calibri"/>
                <w:kern w:val="0"/>
                <w:sz w:val="20"/>
                <w:szCs w:val="20"/>
                <w14:ligatures w14:val="none"/>
              </w:rPr>
              <w:fldChar w:fldCharType="separate"/>
            </w:r>
            <w:r w:rsidR="002E6C06" w:rsidRPr="009B66A4">
              <w:rPr>
                <w:rFonts w:ascii="Calibri" w:hAnsi="Calibri" w:cs="Calibri"/>
                <w:sz w:val="20"/>
                <w:szCs w:val="20"/>
              </w:rPr>
              <w:t>[53]</w:t>
            </w:r>
            <w:r w:rsidR="003305CA" w:rsidRPr="009B66A4">
              <w:rPr>
                <w:rFonts w:ascii="Calibri" w:eastAsia="Times New Roman" w:hAnsi="Calibri" w:cs="Calibri"/>
                <w:kern w:val="0"/>
                <w:sz w:val="20"/>
                <w:szCs w:val="20"/>
                <w14:ligatures w14:val="none"/>
              </w:rPr>
              <w:fldChar w:fldCharType="end"/>
            </w:r>
          </w:p>
        </w:tc>
        <w:tc>
          <w:tcPr>
            <w:tcW w:w="1194" w:type="dxa"/>
            <w:vAlign w:val="center"/>
            <w:hideMark/>
          </w:tcPr>
          <w:p w14:paraId="765C617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Taiwan</w:t>
            </w:r>
          </w:p>
        </w:tc>
        <w:tc>
          <w:tcPr>
            <w:tcW w:w="1316" w:type="dxa"/>
            <w:noWrap/>
            <w:vAlign w:val="center"/>
            <w:hideMark/>
          </w:tcPr>
          <w:p w14:paraId="5114AA2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20D0D81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6FF959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61BBA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0C99E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w:t>
            </w:r>
          </w:p>
        </w:tc>
        <w:tc>
          <w:tcPr>
            <w:tcW w:w="1682" w:type="dxa"/>
            <w:vAlign w:val="center"/>
            <w:hideMark/>
          </w:tcPr>
          <w:p w14:paraId="11D3C75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0491FD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6FC4CA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6BA4C0D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 (100%)</w:t>
            </w:r>
          </w:p>
        </w:tc>
        <w:tc>
          <w:tcPr>
            <w:tcW w:w="1438" w:type="dxa"/>
            <w:vAlign w:val="center"/>
            <w:hideMark/>
          </w:tcPr>
          <w:p w14:paraId="2A86AB9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C363FC8" w14:textId="77777777" w:rsidTr="00A3759F">
        <w:trPr>
          <w:trHeight w:val="20"/>
        </w:trPr>
        <w:tc>
          <w:tcPr>
            <w:tcW w:w="1444" w:type="dxa"/>
            <w:noWrap/>
            <w:vAlign w:val="center"/>
            <w:hideMark/>
          </w:tcPr>
          <w:p w14:paraId="136C25BC" w14:textId="58D1CEE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Frullanti, 2019</w:t>
            </w:r>
            <w:r w:rsidR="002E6C06" w:rsidRPr="009B66A4">
              <w:rPr>
                <w:rFonts w:ascii="Calibri" w:eastAsia="Times New Roman" w:hAnsi="Calibri" w:cs="Calibri"/>
                <w:kern w:val="0"/>
                <w:sz w:val="20"/>
                <w:szCs w:val="20"/>
                <w14:ligatures w14:val="none"/>
              </w:rPr>
              <w:fldChar w:fldCharType="begin"/>
            </w:r>
            <w:r w:rsidR="0092409E" w:rsidRPr="009B66A4">
              <w:rPr>
                <w:rFonts w:ascii="Calibri" w:eastAsia="Times New Roman" w:hAnsi="Calibri" w:cs="Calibri"/>
                <w:kern w:val="0"/>
                <w:sz w:val="20"/>
                <w:szCs w:val="20"/>
                <w14:ligatures w14:val="none"/>
              </w:rPr>
              <w:instrText xml:space="preserve"> ADDIN ZOTERO_ITEM CSL_CITATION {"citationID":"d2WNzXy5","properties":{"formattedCitation":"[54]","plainCitation":"[54]","noteIndex":0},"citationItems":[{"id":3408,"uris":["http://zotero.org/users/11896629/items/CCQ3Z9AS"],"itemData":{"id":3408,"type":"article-journal","abstract":"Rett spectrum disorder is a progressive neurological disease and the most common genetic cause of intellectual disability in females.\n              MECP2\n              is the major causative gene. In addition,\n              CDKL5\n              and\n              FOXG1\n              mutations have been reported in Rett patients, especially with the atypical presentation. Each gene and different mutations within each gene contribute to variability in clinical presentation, and several groups worldwide performed genotype-phenotype correlation studies using cohorts of patients with classic and atypical forms of Rett spectrum disorder. The Rett Networked Database is a unified registry of clinical and molecular data of Rett patients, and it is currently one of the largest Rett registries worldwide with several hundred records provided by Rett expert clinicians from 13 countries. Collected data revealed that the majority of\n              MECP2\n              -mutated patients present with the classic form, the majority of\n              CDKL5\n              -mutated patients with the early-onset seizure variant, and the majority of\n              FOXG1\n              -mutated patients with the congenital form. A computation of severity scores further revealed significant differences between groups of patients and correlation with mutation types. The highly detailed phenotypic information contained in the Rett Networked Database allows the grouping of patients presenting specific clinical and genetic characteristics for studies by the Rett community and beyond. These data will also serve for the development of clinical trials involving homogeneous groups of patients.","container-title":"International Journal of Genomics","DOI":"10.1155/2019/6956934","ISSN":"2314-436X, 2314-4378","journalAbbreviation":"International Journal of Genomics","language":"en","license":"http://creativecommons.org/licenses/by/4.0/","page":"1-9","source":"DOI.org (Crossref)","title":"Analysis of the Phenotypes in the Rett Networked Database","volume":"2019","author":[{"family":"Frullanti","given":"Elisa"},{"family":"Papa","given":"Filomena T."},{"family":"Grillo","given":"Elisa"},{"family":"Clarke","given":"Angus"},{"family":"Ben-Zeev","given":"Bruria"},{"family":"Pineda","given":"Mercedes"},{"family":"Bahi-Buisson","given":"Nadia"},{"family":"Bienvenu","given":"Thierry"},{"family":"Armstrong","given":"Judith"},{"family":"Roche Martinez","given":"Ana"},{"family":"Mari","given":"Francesca"},{"family":"Nissenkorn","given":"Andreea"},{"family":"Lo Rizzo","given":"Caterina"},{"family":"Veneselli","given":"Edvige"},{"family":"Russo","given":"Silvia"},{"family":"Vignoli","given":"Aglaia"},{"family":"Pini","given":"Giorgio"},{"family":"Djuric","given":"Milena"},{"family":"Bisgaard","given":"Anne-Marie"},{"family":"Ravn","given":"Kirstine"},{"family":"Bosnjak","given":"Vlatka Mejaski"},{"family":"Hayek","given":"Joussef"},{"family":"Khajuria","given":"Rajni"},{"family":"Montomoli","given":"Barbara"},{"family":"Cogliati","given":"Francesca"},{"family":"Pintaudi","given":"Maria"},{"family":"Hadzsiev","given":"Kinga"},{"family":"Craiu","given":"Dana"},{"family":"Voinova","given":"Victoria"},{"family":"Djukic","given":"Aleksandra"},{"family":"Villard","given":"Laurent"},{"family":"Renieri","given":"Alessandra"}],"issued":{"date-parts":[["2019",3,27]]}}}],"schema":"https://github.com/citation-style-language/schema/raw/master/csl-citation.json"} </w:instrText>
            </w:r>
            <w:r w:rsidR="002E6C06" w:rsidRPr="009B66A4">
              <w:rPr>
                <w:rFonts w:ascii="Calibri" w:eastAsia="Times New Roman" w:hAnsi="Calibri" w:cs="Calibri"/>
                <w:kern w:val="0"/>
                <w:sz w:val="20"/>
                <w:szCs w:val="20"/>
                <w14:ligatures w14:val="none"/>
              </w:rPr>
              <w:fldChar w:fldCharType="separate"/>
            </w:r>
            <w:r w:rsidR="0092409E" w:rsidRPr="009B66A4">
              <w:rPr>
                <w:rFonts w:ascii="Calibri" w:hAnsi="Calibri" w:cs="Calibri"/>
                <w:sz w:val="20"/>
                <w:szCs w:val="20"/>
              </w:rPr>
              <w:t>[54]</w:t>
            </w:r>
            <w:r w:rsidR="002E6C06" w:rsidRPr="009B66A4">
              <w:rPr>
                <w:rFonts w:ascii="Calibri" w:eastAsia="Times New Roman" w:hAnsi="Calibri" w:cs="Calibri"/>
                <w:kern w:val="0"/>
                <w:sz w:val="20"/>
                <w:szCs w:val="20"/>
                <w14:ligatures w14:val="none"/>
              </w:rPr>
              <w:fldChar w:fldCharType="end"/>
            </w:r>
          </w:p>
        </w:tc>
        <w:tc>
          <w:tcPr>
            <w:tcW w:w="1194" w:type="dxa"/>
            <w:vAlign w:val="center"/>
            <w:hideMark/>
          </w:tcPr>
          <w:p w14:paraId="36F067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Croatia, Denmark, France, Hungary, India, Israel, Italy, Romania, Serbia, Spain, UK, USA, Russia</w:t>
            </w:r>
          </w:p>
        </w:tc>
        <w:tc>
          <w:tcPr>
            <w:tcW w:w="1316" w:type="dxa"/>
            <w:noWrap/>
            <w:vAlign w:val="center"/>
            <w:hideMark/>
          </w:tcPr>
          <w:p w14:paraId="3FBBA6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CF1115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7321C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883FB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A5F12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1027</w:t>
            </w:r>
          </w:p>
        </w:tc>
        <w:tc>
          <w:tcPr>
            <w:tcW w:w="1682" w:type="dxa"/>
            <w:vAlign w:val="center"/>
            <w:hideMark/>
          </w:tcPr>
          <w:p w14:paraId="3C447A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2A11E66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0BC1B7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21B88CE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949 (92.41%)</w:t>
            </w:r>
          </w:p>
        </w:tc>
        <w:tc>
          <w:tcPr>
            <w:tcW w:w="1438" w:type="dxa"/>
            <w:vAlign w:val="center"/>
            <w:hideMark/>
          </w:tcPr>
          <w:p w14:paraId="40035D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D0772B6" w14:textId="77777777" w:rsidTr="00A3759F">
        <w:trPr>
          <w:trHeight w:val="20"/>
        </w:trPr>
        <w:tc>
          <w:tcPr>
            <w:tcW w:w="1444" w:type="dxa"/>
            <w:noWrap/>
            <w:vAlign w:val="center"/>
            <w:hideMark/>
          </w:tcPr>
          <w:p w14:paraId="2839C5D5" w14:textId="4D15398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Sarber, 2019</w:t>
            </w:r>
            <w:r w:rsidR="0092409E" w:rsidRPr="009B66A4">
              <w:rPr>
                <w:rFonts w:ascii="Calibri" w:eastAsia="Times New Roman" w:hAnsi="Calibri" w:cs="Calibri"/>
                <w:kern w:val="0"/>
                <w:sz w:val="20"/>
                <w:szCs w:val="20"/>
                <w14:ligatures w14:val="none"/>
              </w:rPr>
              <w:fldChar w:fldCharType="begin"/>
            </w:r>
            <w:r w:rsidR="0092409E" w:rsidRPr="009B66A4">
              <w:rPr>
                <w:rFonts w:ascii="Calibri" w:eastAsia="Times New Roman" w:hAnsi="Calibri" w:cs="Calibri"/>
                <w:kern w:val="0"/>
                <w:sz w:val="20"/>
                <w:szCs w:val="20"/>
                <w14:ligatures w14:val="none"/>
              </w:rPr>
              <w:instrText xml:space="preserve"> ADDIN ZOTERO_ITEM CSL_CITATION {"citationID":"bNHTsMfV","properties":{"formattedCitation":"[55]","plainCitation":"[55]","noteIndex":0},"citationItems":[{"id":2893,"uris":["http://zotero.org/users/11896629/items/9GJGZT9Y"],"itemData":{"id":2893,"type":"article-journal","container-title":"Journal of Clinical Sleep Medicine","DOI":"10.5664/jcsm.7974","ISSN":"1550-9389, 1550-9397","issue":"10","journalAbbreviation":"Journal of Clinical Sleep Medicine","language":"en","page":"1451-1457","source":"DOI.org (Crossref)","title":"Sleep-Disordered Breathing in Pediatric Patients With Rett Syndrome","volume":"15","author":[{"family":"Sarber","given":"Kathleen M."},{"family":"Howard","given":"Javier J. M."},{"family":"Dye","given":"Thomas J."},{"family":"Pascoe","given":"John E."},{"family":"Simakajornboon","given":"Narong"}],"issued":{"date-parts":[["2019",10,15]]}}}],"schema":"https://github.com/citation-style-language/schema/raw/master/csl-citation.json"} </w:instrText>
            </w:r>
            <w:r w:rsidR="0092409E" w:rsidRPr="009B66A4">
              <w:rPr>
                <w:rFonts w:ascii="Calibri" w:eastAsia="Times New Roman" w:hAnsi="Calibri" w:cs="Calibri"/>
                <w:kern w:val="0"/>
                <w:sz w:val="20"/>
                <w:szCs w:val="20"/>
                <w14:ligatures w14:val="none"/>
              </w:rPr>
              <w:fldChar w:fldCharType="separate"/>
            </w:r>
            <w:r w:rsidR="0092409E" w:rsidRPr="009B66A4">
              <w:rPr>
                <w:rFonts w:ascii="Calibri" w:hAnsi="Calibri" w:cs="Calibri"/>
                <w:sz w:val="20"/>
                <w:szCs w:val="20"/>
              </w:rPr>
              <w:t>[55]</w:t>
            </w:r>
            <w:r w:rsidR="0092409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B673E9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52D9FCC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0FC24B4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BCEFAD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E7939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B93935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w:t>
            </w:r>
          </w:p>
        </w:tc>
        <w:tc>
          <w:tcPr>
            <w:tcW w:w="1682" w:type="dxa"/>
            <w:noWrap/>
            <w:vAlign w:val="center"/>
            <w:hideMark/>
          </w:tcPr>
          <w:p w14:paraId="778783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9.09 (4.94)</w:t>
            </w:r>
          </w:p>
        </w:tc>
        <w:tc>
          <w:tcPr>
            <w:tcW w:w="1394" w:type="dxa"/>
            <w:noWrap/>
            <w:vAlign w:val="center"/>
            <w:hideMark/>
          </w:tcPr>
          <w:p w14:paraId="24BBC1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 (15.4%)</w:t>
            </w:r>
          </w:p>
        </w:tc>
        <w:tc>
          <w:tcPr>
            <w:tcW w:w="1394" w:type="dxa"/>
            <w:noWrap/>
            <w:vAlign w:val="center"/>
            <w:hideMark/>
          </w:tcPr>
          <w:p w14:paraId="51F07B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 (84.6%)</w:t>
            </w:r>
          </w:p>
        </w:tc>
        <w:tc>
          <w:tcPr>
            <w:tcW w:w="1394" w:type="dxa"/>
            <w:noWrap/>
            <w:vAlign w:val="center"/>
            <w:hideMark/>
          </w:tcPr>
          <w:p w14:paraId="11BAF4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 (84.6%)</w:t>
            </w:r>
          </w:p>
        </w:tc>
        <w:tc>
          <w:tcPr>
            <w:tcW w:w="1438" w:type="dxa"/>
            <w:noWrap/>
            <w:vAlign w:val="center"/>
            <w:hideMark/>
          </w:tcPr>
          <w:p w14:paraId="4C34B4C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0D8410F" w14:textId="77777777" w:rsidTr="00A3759F">
        <w:trPr>
          <w:trHeight w:val="20"/>
        </w:trPr>
        <w:tc>
          <w:tcPr>
            <w:tcW w:w="1444" w:type="dxa"/>
            <w:noWrap/>
            <w:vAlign w:val="center"/>
            <w:hideMark/>
          </w:tcPr>
          <w:p w14:paraId="41C869BD" w14:textId="43587CF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Hirano, 2019</w:t>
            </w:r>
            <w:r w:rsidR="0092409E" w:rsidRPr="009B66A4">
              <w:rPr>
                <w:rFonts w:ascii="Calibri" w:eastAsia="Times New Roman" w:hAnsi="Calibri" w:cs="Calibri"/>
                <w:kern w:val="0"/>
                <w:sz w:val="20"/>
                <w:szCs w:val="20"/>
                <w14:ligatures w14:val="none"/>
              </w:rPr>
              <w:fldChar w:fldCharType="begin"/>
            </w:r>
            <w:r w:rsidR="0058683F" w:rsidRPr="009B66A4">
              <w:rPr>
                <w:rFonts w:ascii="Calibri" w:eastAsia="Times New Roman" w:hAnsi="Calibri" w:cs="Calibri"/>
                <w:kern w:val="0"/>
                <w:sz w:val="20"/>
                <w:szCs w:val="20"/>
                <w14:ligatures w14:val="none"/>
              </w:rPr>
              <w:instrText xml:space="preserve"> ADDIN ZOTERO_ITEM CSL_CITATION {"citationID":"LqverPSq","properties":{"formattedCitation":"[56]","plainCitation":"[56]","noteIndex":0},"citationItems":[{"id":3410,"uris":["http://zotero.org/users/11896629/items/KTIHDUJA"],"itemData":{"id":3410,"type":"article-journal","container-title":"Developmental Neurorehabilitation","DOI":"10.1080/17518423.2018.1523245","ISSN":"1751-8423, 1751-8431","issue":"6","journalAbbreviation":"Developmental Neurorehabilitation","language":"en","page":"376-379","source":"DOI.org (Crossref)","title":"Variation factors of stereotypical hand movements in subjects with Rett syndrome","volume":"22","author":[{"family":"Hirano","given":"Daisuke"},{"family":"Taniguchi","given":"Takamichi"}],"issued":{"date-parts":[["2019",8,18]]}}}],"schema":"https://github.com/citation-style-language/schema/raw/master/csl-citation.json"} </w:instrText>
            </w:r>
            <w:r w:rsidR="0092409E" w:rsidRPr="009B66A4">
              <w:rPr>
                <w:rFonts w:ascii="Calibri" w:eastAsia="Times New Roman" w:hAnsi="Calibri" w:cs="Calibri"/>
                <w:kern w:val="0"/>
                <w:sz w:val="20"/>
                <w:szCs w:val="20"/>
                <w14:ligatures w14:val="none"/>
              </w:rPr>
              <w:fldChar w:fldCharType="separate"/>
            </w:r>
            <w:r w:rsidR="0058683F" w:rsidRPr="009B66A4">
              <w:rPr>
                <w:rFonts w:ascii="Calibri" w:hAnsi="Calibri" w:cs="Calibri"/>
                <w:sz w:val="20"/>
                <w:szCs w:val="20"/>
              </w:rPr>
              <w:t>[56]</w:t>
            </w:r>
            <w:r w:rsidR="0092409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08D45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Japan</w:t>
            </w:r>
          </w:p>
        </w:tc>
        <w:tc>
          <w:tcPr>
            <w:tcW w:w="1316" w:type="dxa"/>
            <w:noWrap/>
            <w:vAlign w:val="center"/>
            <w:hideMark/>
          </w:tcPr>
          <w:p w14:paraId="06A7E2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719F9E3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384C2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71537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3F0AE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w:t>
            </w:r>
          </w:p>
        </w:tc>
        <w:tc>
          <w:tcPr>
            <w:tcW w:w="1682" w:type="dxa"/>
            <w:vAlign w:val="center"/>
            <w:hideMark/>
          </w:tcPr>
          <w:p w14:paraId="33680E7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15.5 (Range: 3.7 – 53.4)</w:t>
            </w:r>
          </w:p>
        </w:tc>
        <w:tc>
          <w:tcPr>
            <w:tcW w:w="1394" w:type="dxa"/>
            <w:noWrap/>
            <w:vAlign w:val="center"/>
            <w:hideMark/>
          </w:tcPr>
          <w:p w14:paraId="39FF92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1CA98C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F7631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64594C7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7671205" w14:textId="77777777" w:rsidTr="00A3759F">
        <w:trPr>
          <w:trHeight w:val="20"/>
        </w:trPr>
        <w:tc>
          <w:tcPr>
            <w:tcW w:w="1444" w:type="dxa"/>
            <w:vMerge w:val="restart"/>
            <w:noWrap/>
            <w:vAlign w:val="center"/>
            <w:hideMark/>
          </w:tcPr>
          <w:p w14:paraId="1344BAA3" w14:textId="5BF54F3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Caffarelli, 2019</w:t>
            </w:r>
            <w:r w:rsidR="0058683F" w:rsidRPr="009B66A4">
              <w:rPr>
                <w:rFonts w:ascii="Calibri" w:eastAsia="Times New Roman" w:hAnsi="Calibri" w:cs="Calibri"/>
                <w:kern w:val="0"/>
                <w:sz w:val="20"/>
                <w:szCs w:val="20"/>
                <w14:ligatures w14:val="none"/>
              </w:rPr>
              <w:fldChar w:fldCharType="begin"/>
            </w:r>
            <w:r w:rsidR="006D4DE0" w:rsidRPr="009B66A4">
              <w:rPr>
                <w:rFonts w:ascii="Calibri" w:eastAsia="Times New Roman" w:hAnsi="Calibri" w:cs="Calibri"/>
                <w:kern w:val="0"/>
                <w:sz w:val="20"/>
                <w:szCs w:val="20"/>
                <w14:ligatures w14:val="none"/>
              </w:rPr>
              <w:instrText xml:space="preserve"> ADDIN ZOTERO_ITEM CSL_CITATION {"citationID":"SECzmnB4","properties":{"formattedCitation":"[57]","plainCitation":"[57]","noteIndex":0},"citationItems":[{"id":3411,"uris":["http://zotero.org/users/11896629/items/4DSZWAZY"],"itemData":{"id":3411,"type":"article-journal","container-title":"Pediatric Research","DOI":"10.1038/s41390-018-0111-z","ISSN":"0031-3998, 1530-0447","issue":"5","journalAbbreviation":"Pediatr Res","language":"en","page":"639-643","source":"DOI.org (Crossref)","title":"Bone status in relation to ambulatory performance in girls with Rett syndrome: a 10-year longitudinal study","title-short":"Bone status in relation to ambulatory performance in girls with Rett syndrome","volume":"85","author":[{"family":"Caffarelli","given":"Carla"},{"family":"Francolini","given":"Valentina"},{"family":"Hayek","given":"Joussef"},{"family":"Valacchi","given":"Giuseppe"},{"family":"Giannotti","given":"Stefano"},{"family":"Nuti","given":"Ranuccio"},{"family":"Gonnelli","given":"Stefano"}],"issued":{"date-parts":[["2019",4]]}}}],"schema":"https://github.com/citation-style-language/schema/raw/master/csl-citation.json"} </w:instrText>
            </w:r>
            <w:r w:rsidR="0058683F" w:rsidRPr="009B66A4">
              <w:rPr>
                <w:rFonts w:ascii="Calibri" w:eastAsia="Times New Roman" w:hAnsi="Calibri" w:cs="Calibri"/>
                <w:kern w:val="0"/>
                <w:sz w:val="20"/>
                <w:szCs w:val="20"/>
                <w14:ligatures w14:val="none"/>
              </w:rPr>
              <w:fldChar w:fldCharType="separate"/>
            </w:r>
            <w:r w:rsidR="006D4DE0" w:rsidRPr="009B66A4">
              <w:rPr>
                <w:rFonts w:ascii="Calibri" w:hAnsi="Calibri" w:cs="Calibri"/>
                <w:sz w:val="20"/>
                <w:szCs w:val="20"/>
              </w:rPr>
              <w:t>[57]</w:t>
            </w:r>
            <w:r w:rsidR="0058683F"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EB8BF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Merge w:val="restart"/>
            <w:noWrap/>
            <w:vAlign w:val="center"/>
            <w:hideMark/>
          </w:tcPr>
          <w:p w14:paraId="20864C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vMerge w:val="restart"/>
            <w:noWrap/>
            <w:hideMark/>
          </w:tcPr>
          <w:p w14:paraId="5B36C6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5F75B2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414E381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70CA7E6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58</w:t>
            </w:r>
          </w:p>
        </w:tc>
        <w:tc>
          <w:tcPr>
            <w:tcW w:w="1682" w:type="dxa"/>
            <w:vAlign w:val="center"/>
            <w:hideMark/>
          </w:tcPr>
          <w:p w14:paraId="236125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Non – ambulatory: 5.1 (2.1)</w:t>
            </w:r>
          </w:p>
        </w:tc>
        <w:tc>
          <w:tcPr>
            <w:tcW w:w="1394" w:type="dxa"/>
            <w:vMerge w:val="restart"/>
            <w:noWrap/>
            <w:vAlign w:val="center"/>
            <w:hideMark/>
          </w:tcPr>
          <w:p w14:paraId="60D5E96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09675A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58 (100%)</w:t>
            </w:r>
          </w:p>
        </w:tc>
        <w:tc>
          <w:tcPr>
            <w:tcW w:w="1394" w:type="dxa"/>
            <w:vMerge w:val="restart"/>
            <w:vAlign w:val="center"/>
            <w:hideMark/>
          </w:tcPr>
          <w:p w14:paraId="5CF94B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55 (94.8%)</w:t>
            </w:r>
          </w:p>
        </w:tc>
        <w:tc>
          <w:tcPr>
            <w:tcW w:w="1438" w:type="dxa"/>
            <w:vMerge w:val="restart"/>
            <w:vAlign w:val="center"/>
            <w:hideMark/>
          </w:tcPr>
          <w:p w14:paraId="62CB96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59CFEBD" w14:textId="77777777" w:rsidTr="00A3759F">
        <w:trPr>
          <w:trHeight w:val="20"/>
        </w:trPr>
        <w:tc>
          <w:tcPr>
            <w:tcW w:w="1444" w:type="dxa"/>
            <w:vMerge/>
            <w:vAlign w:val="center"/>
            <w:hideMark/>
          </w:tcPr>
          <w:p w14:paraId="082B281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AAD4E1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598FB5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8EEA9D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6F6A5A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F3CC30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9124CC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5E17CC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Ambulatory: 5.9 (3.2)</w:t>
            </w:r>
          </w:p>
        </w:tc>
        <w:tc>
          <w:tcPr>
            <w:tcW w:w="1394" w:type="dxa"/>
            <w:vMerge/>
            <w:vAlign w:val="center"/>
            <w:hideMark/>
          </w:tcPr>
          <w:p w14:paraId="5212E72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A3A9DC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5C2E61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5102705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049DF3CE" w14:textId="77777777" w:rsidTr="00A3759F">
        <w:trPr>
          <w:trHeight w:val="907"/>
        </w:trPr>
        <w:tc>
          <w:tcPr>
            <w:tcW w:w="1444" w:type="dxa"/>
            <w:noWrap/>
            <w:vAlign w:val="center"/>
            <w:hideMark/>
          </w:tcPr>
          <w:p w14:paraId="52E594E4" w14:textId="431942C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Rose, 2019</w:t>
            </w:r>
            <w:r w:rsidR="006D4DE0" w:rsidRPr="009B66A4">
              <w:rPr>
                <w:rFonts w:ascii="Calibri" w:eastAsia="Times New Roman" w:hAnsi="Calibri" w:cs="Calibri"/>
                <w:kern w:val="0"/>
                <w:sz w:val="20"/>
                <w:szCs w:val="20"/>
                <w14:ligatures w14:val="none"/>
              </w:rPr>
              <w:fldChar w:fldCharType="begin"/>
            </w:r>
            <w:r w:rsidR="00FB34DF" w:rsidRPr="009B66A4">
              <w:rPr>
                <w:rFonts w:ascii="Calibri" w:eastAsia="Times New Roman" w:hAnsi="Calibri" w:cs="Calibri"/>
                <w:kern w:val="0"/>
                <w:sz w:val="20"/>
                <w:szCs w:val="20"/>
                <w14:ligatures w14:val="none"/>
              </w:rPr>
              <w:instrText xml:space="preserve"> ADDIN ZOTERO_ITEM CSL_CITATION {"citationID":"A1Y2reJH","properties":{"formattedCitation":"[58]","plainCitation":"[58]","noteIndex":0},"citationItems":[{"id":3412,"uris":["http://zotero.org/users/11896629/items/2SX5DHG7"],"itemData":{"id":3412,"type":"article-journal","container-title":"Pediatric Neurology","DOI":"10.1016/j.pediatrneurol.2018.10.002","ISSN":"08878994","journalAbbreviation":"Pediatric Neurology","language":"en","page":"26-31","source":"DOI.org (Crossref)","title":"Impaired Visual Search in Children with Rett Syndrome","volume":"92","author":[{"family":"Rose","given":"Susan A."},{"family":"Wass","given":"Sam"},{"family":"Jankowski","given":"Jeffery J."},{"family":"Feldman","given":"Judith F."},{"family":"Djukic","given":"Aleksandra"}],"issued":{"date-parts":[["2019",3]]}}}],"schema":"https://github.com/citation-style-language/schema/raw/master/csl-citation.json"} </w:instrText>
            </w:r>
            <w:r w:rsidR="006D4DE0" w:rsidRPr="009B66A4">
              <w:rPr>
                <w:rFonts w:ascii="Calibri" w:eastAsia="Times New Roman" w:hAnsi="Calibri" w:cs="Calibri"/>
                <w:kern w:val="0"/>
                <w:sz w:val="20"/>
                <w:szCs w:val="20"/>
                <w14:ligatures w14:val="none"/>
              </w:rPr>
              <w:fldChar w:fldCharType="separate"/>
            </w:r>
            <w:r w:rsidR="00FB34DF" w:rsidRPr="009B66A4">
              <w:rPr>
                <w:rFonts w:ascii="Calibri" w:hAnsi="Calibri" w:cs="Calibri"/>
                <w:sz w:val="20"/>
                <w:szCs w:val="20"/>
              </w:rPr>
              <w:t>[58]</w:t>
            </w:r>
            <w:r w:rsidR="006D4DE0"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C8DCED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7743CF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7F70452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11A6F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E39CB8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A4107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w:t>
            </w:r>
          </w:p>
        </w:tc>
        <w:tc>
          <w:tcPr>
            <w:tcW w:w="1682" w:type="dxa"/>
            <w:noWrap/>
            <w:vAlign w:val="center"/>
            <w:hideMark/>
          </w:tcPr>
          <w:p w14:paraId="3BC5D7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8.49 (2.09)</w:t>
            </w:r>
          </w:p>
        </w:tc>
        <w:tc>
          <w:tcPr>
            <w:tcW w:w="1394" w:type="dxa"/>
            <w:noWrap/>
            <w:vAlign w:val="center"/>
            <w:hideMark/>
          </w:tcPr>
          <w:p w14:paraId="2FF0F3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9C1F5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 (100%)</w:t>
            </w:r>
          </w:p>
        </w:tc>
        <w:tc>
          <w:tcPr>
            <w:tcW w:w="1394" w:type="dxa"/>
            <w:noWrap/>
            <w:vAlign w:val="center"/>
            <w:hideMark/>
          </w:tcPr>
          <w:p w14:paraId="30FA5A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 (100%)</w:t>
            </w:r>
          </w:p>
        </w:tc>
        <w:tc>
          <w:tcPr>
            <w:tcW w:w="1438" w:type="dxa"/>
            <w:vAlign w:val="center"/>
            <w:hideMark/>
          </w:tcPr>
          <w:p w14:paraId="0F63D98F" w14:textId="2A8747D3"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RSSS,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8.11 (2.23)</w:t>
            </w:r>
          </w:p>
        </w:tc>
      </w:tr>
      <w:tr w:rsidR="00713B5E" w:rsidRPr="009B66A4" w14:paraId="1A9437D6" w14:textId="77777777" w:rsidTr="00A3759F">
        <w:trPr>
          <w:trHeight w:val="20"/>
        </w:trPr>
        <w:tc>
          <w:tcPr>
            <w:tcW w:w="1444" w:type="dxa"/>
            <w:noWrap/>
            <w:vAlign w:val="center"/>
            <w:hideMark/>
          </w:tcPr>
          <w:p w14:paraId="3A9EE9CC" w14:textId="4D704B86"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Amaddeo, 2019</w:t>
            </w:r>
            <w:r w:rsidR="00FB34DF" w:rsidRPr="009B66A4">
              <w:rPr>
                <w:rFonts w:ascii="Calibri" w:eastAsia="Times New Roman" w:hAnsi="Calibri" w:cs="Calibri"/>
                <w:kern w:val="0"/>
                <w:sz w:val="20"/>
                <w:szCs w:val="20"/>
                <w14:ligatures w14:val="none"/>
              </w:rPr>
              <w:fldChar w:fldCharType="begin"/>
            </w:r>
            <w:r w:rsidR="00825525" w:rsidRPr="009B66A4">
              <w:rPr>
                <w:rFonts w:ascii="Calibri" w:eastAsia="Times New Roman" w:hAnsi="Calibri" w:cs="Calibri"/>
                <w:kern w:val="0"/>
                <w:sz w:val="20"/>
                <w:szCs w:val="20"/>
                <w14:ligatures w14:val="none"/>
              </w:rPr>
              <w:instrText xml:space="preserve"> ADDIN ZOTERO_ITEM CSL_CITATION {"citationID":"gG96VlLG","properties":{"formattedCitation":"[59]","plainCitation":"[59]","noteIndex":0},"citationItems":[{"id":3414,"uris":["http://zotero.org/users/11896629/items/FZNKAE45"],"itemData":{"id":3414,"type":"article-journal","container-title":"European Journal of Paediatric Neurology","DOI":"10.1016/j.ejpn.2018.09.003","ISSN":"10903798","issue":"1","journalAbbreviation":"European Journal of Paediatric Neurology","language":"en","page":"214-221","source":"DOI.org (Crossref)","title":"Polysomnographic findings in Rett syndrome","volume":"23","author":[{"family":"Amaddeo","given":"Alessandro"},{"family":"De Sanctis","given":"Livio"},{"family":"Arroyo","given":"Jorge Olmo"},{"family":"Khirani","given":"Sonia"},{"family":"Bahi-Buisson","given":"Nadia"},{"family":"Fauroux","given":"Brigitte"}],"issued":{"date-parts":[["2019",1]]}}}],"schema":"https://github.com/citation-style-language/schema/raw/master/csl-citation.json"} </w:instrText>
            </w:r>
            <w:r w:rsidR="00FB34DF" w:rsidRPr="009B66A4">
              <w:rPr>
                <w:rFonts w:ascii="Calibri" w:eastAsia="Times New Roman" w:hAnsi="Calibri" w:cs="Calibri"/>
                <w:kern w:val="0"/>
                <w:sz w:val="20"/>
                <w:szCs w:val="20"/>
                <w14:ligatures w14:val="none"/>
              </w:rPr>
              <w:fldChar w:fldCharType="separate"/>
            </w:r>
            <w:r w:rsidR="00825525" w:rsidRPr="009B66A4">
              <w:rPr>
                <w:rFonts w:ascii="Calibri" w:hAnsi="Calibri" w:cs="Calibri"/>
                <w:sz w:val="20"/>
                <w:szCs w:val="20"/>
              </w:rPr>
              <w:t>[59]</w:t>
            </w:r>
            <w:r w:rsidR="00FB34DF"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D7C074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France</w:t>
            </w:r>
          </w:p>
        </w:tc>
        <w:tc>
          <w:tcPr>
            <w:tcW w:w="1316" w:type="dxa"/>
            <w:noWrap/>
            <w:vAlign w:val="center"/>
            <w:hideMark/>
          </w:tcPr>
          <w:p w14:paraId="1A303C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vAlign w:val="center"/>
            <w:hideMark/>
          </w:tcPr>
          <w:p w14:paraId="4792E6D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69AEDE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489CD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598B33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w:t>
            </w:r>
          </w:p>
        </w:tc>
        <w:tc>
          <w:tcPr>
            <w:tcW w:w="1682" w:type="dxa"/>
            <w:noWrap/>
            <w:vAlign w:val="center"/>
            <w:hideMark/>
          </w:tcPr>
          <w:p w14:paraId="2E21239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9.5 (2.8)</w:t>
            </w:r>
          </w:p>
        </w:tc>
        <w:tc>
          <w:tcPr>
            <w:tcW w:w="1394" w:type="dxa"/>
            <w:noWrap/>
            <w:vAlign w:val="center"/>
            <w:hideMark/>
          </w:tcPr>
          <w:p w14:paraId="485E6D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9AB3D4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 (100%)</w:t>
            </w:r>
          </w:p>
        </w:tc>
        <w:tc>
          <w:tcPr>
            <w:tcW w:w="1394" w:type="dxa"/>
            <w:vAlign w:val="center"/>
            <w:hideMark/>
          </w:tcPr>
          <w:p w14:paraId="695A27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(59%)</w:t>
            </w:r>
          </w:p>
        </w:tc>
        <w:tc>
          <w:tcPr>
            <w:tcW w:w="1438" w:type="dxa"/>
            <w:vAlign w:val="center"/>
            <w:hideMark/>
          </w:tcPr>
          <w:p w14:paraId="42A3A2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0E0A9E6" w14:textId="77777777" w:rsidTr="00A3759F">
        <w:trPr>
          <w:trHeight w:val="20"/>
        </w:trPr>
        <w:tc>
          <w:tcPr>
            <w:tcW w:w="1444" w:type="dxa"/>
            <w:vMerge w:val="restart"/>
            <w:noWrap/>
            <w:vAlign w:val="center"/>
            <w:hideMark/>
          </w:tcPr>
          <w:p w14:paraId="432EC444" w14:textId="2489C7F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Motil, 2019</w:t>
            </w:r>
            <w:r w:rsidR="003B7148" w:rsidRPr="009B66A4">
              <w:rPr>
                <w:rFonts w:ascii="Calibri" w:eastAsia="Times New Roman" w:hAnsi="Calibri" w:cs="Calibri"/>
                <w:kern w:val="0"/>
                <w:sz w:val="20"/>
                <w:szCs w:val="20"/>
                <w14:ligatures w14:val="none"/>
              </w:rPr>
              <w:fldChar w:fldCharType="begin"/>
            </w:r>
            <w:r w:rsidR="00324327" w:rsidRPr="009B66A4">
              <w:rPr>
                <w:rFonts w:ascii="Calibri" w:eastAsia="Times New Roman" w:hAnsi="Calibri" w:cs="Calibri"/>
                <w:kern w:val="0"/>
                <w:sz w:val="20"/>
                <w:szCs w:val="20"/>
                <w14:ligatures w14:val="none"/>
              </w:rPr>
              <w:instrText xml:space="preserve"> ADDIN ZOTERO_ITEM CSL_CITATION {"citationID":"VJ9eK2wL","properties":{"formattedCitation":"[60]","plainCitation":"[60]","noteIndex":0},"citationItems":[{"id":3416,"uris":["http://zotero.org/users/11896629/items/VR4W4VWD"],"itemData":{"id":3416,"type":"article-journal","abstract":"ABSTRACT\n            \n              Objective:\n              We reviewed medical records and conducted a nationwide survey to characterize the clinical features and determine the prevalence of biliary tract disease in girls and women with Rett syndrome (RTT).\n            \n            \n              Methods:\n              \n                Sixty‐two individuals with RTT and biliary tract disease were identified from the membership of Rett Syndrome Organization and patient files of the principal investigator. Medical records of 46 individuals were reviewed for presenting features, diagnostic tests, and treatment outcomes of biliary tract disease. We designed a questionnaire that probed the frequency of risk factors and treatment outcomes of biliary tract disease in RTT. The questionnaire was completed by 271 parents whose daughters met the clinical criteria for RTT and/or had\n                MECP2\n                mutations and participated in the Natural History of Rett Syndrome Study.\n              \n            \n            \n              Results:\n              \n                Presenting symptoms identified by record review included abdominal pain (94%), irritability (88%), weight loss (64%), and vomiting (52%). Biliary dyskinesia, cholecystitis, and cholelithiasis were identified in 90%, 77%, and 70%, respectively, by cholescintigraphy, surgical pathology, and abdominal ultrasound. The prevalence of biliary tract disease was 4.4% (n = 12) in the RTT cohort. Risk factors included older age (\n                P\n                &lt; 0.001) and a positive family history (\n                P\n                &lt; 0.01). Diagnoses included cholecystitis (n = 5), biliary dyskinesia (n = 6), and cholelithiasis (n = 7). Ten individuals underwent surgery; 7 had resolution of symptoms after surgical intervention.\n              \n            \n            \n              Conclusions:\n              Biliary tract disease is not unique to RTT, but may be under‐recognized because of the cognitive impairment of affected individuals. Early diagnostic evaluation and intervention may improve the health and quality of life of individuals affected with RTT and biliary tract disease.","container-title":"Journal of Pediatric Gastroenterology and Nutrition","DOI":"10.1097/MPG.0000000000002273","ISSN":"0277-2116, 1536-4801","issue":"6","journalAbbreviation":"J. pediatr. gastroenterol. nutr.","language":"en","license":"http://onlinelibrary.wiley.com/termsAndConditions#vor","page":"799-805","source":"DOI.org (Crossref)","title":"Biliary Tract Disease in Girls and Young Women With Rett Syndrome","volume":"68","author":[{"family":"Motil","given":"Kathleen J."},{"family":"Lane","given":"Jane B."},{"family":"Barrish","given":"Judy O."},{"family":"Annese","given":"Fran"},{"family":"Geerts","given":"Suzanne"},{"family":"McNair","given":"Lauren"},{"family":"Skinner","given":"Steven A."},{"family":"Neul","given":"Jeffrey L."},{"family":"Glaze","given":"Daniel G."},{"family":"Percy","given":"Alan K."}],"issued":{"date-parts":[["2019",6]]}}}],"schema":"https://github.com/citation-style-language/schema/raw/master/csl-citation.json"} </w:instrText>
            </w:r>
            <w:r w:rsidR="003B7148" w:rsidRPr="009B66A4">
              <w:rPr>
                <w:rFonts w:ascii="Calibri" w:eastAsia="Times New Roman" w:hAnsi="Calibri" w:cs="Calibri"/>
                <w:kern w:val="0"/>
                <w:sz w:val="20"/>
                <w:szCs w:val="20"/>
                <w14:ligatures w14:val="none"/>
              </w:rPr>
              <w:fldChar w:fldCharType="separate"/>
            </w:r>
            <w:r w:rsidR="00324327" w:rsidRPr="009B66A4">
              <w:rPr>
                <w:rFonts w:ascii="Calibri" w:hAnsi="Calibri" w:cs="Calibri"/>
                <w:sz w:val="20"/>
                <w:szCs w:val="20"/>
              </w:rPr>
              <w:t>[60]</w:t>
            </w:r>
            <w:r w:rsidR="003B7148"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742C2F0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5E1526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vMerge w:val="restart"/>
            <w:noWrap/>
            <w:hideMark/>
          </w:tcPr>
          <w:p w14:paraId="6C83A7B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11C6123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76B58FD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vAlign w:val="center"/>
            <w:hideMark/>
          </w:tcPr>
          <w:p w14:paraId="2E5BE60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Medical records = 46</w:t>
            </w:r>
          </w:p>
        </w:tc>
        <w:tc>
          <w:tcPr>
            <w:tcW w:w="1682" w:type="dxa"/>
            <w:vAlign w:val="center"/>
            <w:hideMark/>
          </w:tcPr>
          <w:p w14:paraId="16935F2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Medical records: Median, 21 years</w:t>
            </w:r>
          </w:p>
        </w:tc>
        <w:tc>
          <w:tcPr>
            <w:tcW w:w="1394" w:type="dxa"/>
            <w:vAlign w:val="center"/>
            <w:hideMark/>
          </w:tcPr>
          <w:p w14:paraId="2EB603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Medical records: 0</w:t>
            </w:r>
          </w:p>
        </w:tc>
        <w:tc>
          <w:tcPr>
            <w:tcW w:w="1394" w:type="dxa"/>
            <w:vAlign w:val="center"/>
            <w:hideMark/>
          </w:tcPr>
          <w:p w14:paraId="17BBD45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Medical records: 46 (100%)</w:t>
            </w:r>
          </w:p>
        </w:tc>
        <w:tc>
          <w:tcPr>
            <w:tcW w:w="1394" w:type="dxa"/>
            <w:vMerge w:val="restart"/>
            <w:vAlign w:val="center"/>
            <w:hideMark/>
          </w:tcPr>
          <w:p w14:paraId="1BCEE3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Questionnaire: 258 (95%)</w:t>
            </w:r>
          </w:p>
        </w:tc>
        <w:tc>
          <w:tcPr>
            <w:tcW w:w="1438" w:type="dxa"/>
            <w:vMerge w:val="restart"/>
            <w:vAlign w:val="center"/>
            <w:hideMark/>
          </w:tcPr>
          <w:p w14:paraId="6AF1FF6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78D5088" w14:textId="77777777" w:rsidTr="00A3759F">
        <w:trPr>
          <w:trHeight w:val="20"/>
        </w:trPr>
        <w:tc>
          <w:tcPr>
            <w:tcW w:w="1444" w:type="dxa"/>
            <w:vMerge/>
            <w:vAlign w:val="center"/>
            <w:hideMark/>
          </w:tcPr>
          <w:p w14:paraId="25E2CA7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087E6FB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5902DD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73CA9E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D4F510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6E5076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2B5B118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Questionnaire: 271</w:t>
            </w:r>
          </w:p>
        </w:tc>
        <w:tc>
          <w:tcPr>
            <w:tcW w:w="1682" w:type="dxa"/>
            <w:vAlign w:val="center"/>
            <w:hideMark/>
          </w:tcPr>
          <w:p w14:paraId="5FBB561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Questionnaire: Median, 11 </w:t>
            </w:r>
            <w:r w:rsidRPr="009B66A4">
              <w:rPr>
                <w:rFonts w:ascii="Calibri" w:eastAsia="Times New Roman" w:hAnsi="Calibri" w:cs="Calibri"/>
                <w:kern w:val="0"/>
                <w:sz w:val="20"/>
                <w:szCs w:val="20"/>
                <w14:ligatures w14:val="none"/>
              </w:rPr>
              <w:lastRenderedPageBreak/>
              <w:t>(Range: 7 – 19) years</w:t>
            </w:r>
          </w:p>
        </w:tc>
        <w:tc>
          <w:tcPr>
            <w:tcW w:w="1394" w:type="dxa"/>
            <w:vAlign w:val="center"/>
            <w:hideMark/>
          </w:tcPr>
          <w:p w14:paraId="30E243C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Questionnaire: 5 (2%)</w:t>
            </w:r>
          </w:p>
        </w:tc>
        <w:tc>
          <w:tcPr>
            <w:tcW w:w="1394" w:type="dxa"/>
            <w:vAlign w:val="center"/>
            <w:hideMark/>
          </w:tcPr>
          <w:p w14:paraId="734E6B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Questionnaire: 266 (98%)</w:t>
            </w:r>
          </w:p>
        </w:tc>
        <w:tc>
          <w:tcPr>
            <w:tcW w:w="1394" w:type="dxa"/>
            <w:vMerge/>
            <w:vAlign w:val="center"/>
            <w:hideMark/>
          </w:tcPr>
          <w:p w14:paraId="227B26E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6990800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1DB186D9" w14:textId="77777777" w:rsidTr="00A3759F">
        <w:trPr>
          <w:trHeight w:val="3454"/>
        </w:trPr>
        <w:tc>
          <w:tcPr>
            <w:tcW w:w="1444" w:type="dxa"/>
            <w:noWrap/>
            <w:vAlign w:val="center"/>
            <w:hideMark/>
          </w:tcPr>
          <w:p w14:paraId="33575B22" w14:textId="451AA58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Stallworth, 2019</w:t>
            </w:r>
            <w:r w:rsidR="00324327" w:rsidRPr="009B66A4">
              <w:rPr>
                <w:rFonts w:ascii="Calibri" w:eastAsia="Times New Roman" w:hAnsi="Calibri" w:cs="Calibri"/>
                <w:kern w:val="0"/>
                <w:sz w:val="20"/>
                <w:szCs w:val="20"/>
                <w14:ligatures w14:val="none"/>
              </w:rPr>
              <w:fldChar w:fldCharType="begin"/>
            </w:r>
            <w:r w:rsidR="00324327" w:rsidRPr="009B66A4">
              <w:rPr>
                <w:rFonts w:ascii="Calibri" w:eastAsia="Times New Roman" w:hAnsi="Calibri" w:cs="Calibri"/>
                <w:kern w:val="0"/>
                <w:sz w:val="20"/>
                <w:szCs w:val="20"/>
                <w14:ligatures w14:val="none"/>
              </w:rPr>
              <w:instrText xml:space="preserve"> ADDIN ZOTERO_ITEM CSL_CITATION {"citationID":"DWULbPuk","properties":{"formattedCitation":"[61]","plainCitation":"[61]","noteIndex":0},"citationItems":[{"id":2883,"uris":["http://zotero.org/users/11896629/items/73BXCAMF"],"itemData":{"id":2883,"type":"article-journal","container-title":"Neurology","DOI":"10.1212/WNL.0000000000007560","ISSN":"0028-3878, 1526-632X","issue":"22","journalAbbreviation":"Neurology","language":"en","source":"DOI.org (Crossref)","title":"Hand stereotypies: Lessons from the Rett Syndrome Natural History Study","title-short":"Hand stereotypies","URL":"https://www.neurology.org/doi/10.1212/WNL.0000000000007560","volume":"92","author":[{"family":"Stallworth","given":"Jennifer L."},{"family":"Dy","given":"Marisela E."},{"family":"Buchanan","given":"Caroline B."},{"family":"Chen","given":"Chin-Fu"},{"family":"Scott","given":"Alexandra E."},{"family":"Glaze","given":"Daniel G."},{"family":"Lane","given":"Jane B."},{"family":"Lieberman","given":"David N."},{"family":"Oberman","given":"Lindsay M."},{"family":"Skinner","given":"Steven A."},{"family":"Tierney","given":"Aubin E."},{"family":"Cutter","given":"Gary R."},{"family":"Percy","given":"Alan K."},{"family":"Neul","given":"Jeffrey L."},{"family":"Kaufmann","given":"Walter E."}],"accessed":{"date-parts":[["2025",10,2]]},"issued":{"date-parts":[["2019",5,28]]}}}],"schema":"https://github.com/citation-style-language/schema/raw/master/csl-citation.json"} </w:instrText>
            </w:r>
            <w:r w:rsidR="00324327" w:rsidRPr="009B66A4">
              <w:rPr>
                <w:rFonts w:ascii="Calibri" w:eastAsia="Times New Roman" w:hAnsi="Calibri" w:cs="Calibri"/>
                <w:kern w:val="0"/>
                <w:sz w:val="20"/>
                <w:szCs w:val="20"/>
                <w14:ligatures w14:val="none"/>
              </w:rPr>
              <w:fldChar w:fldCharType="separate"/>
            </w:r>
            <w:r w:rsidR="00324327" w:rsidRPr="009B66A4">
              <w:rPr>
                <w:rFonts w:ascii="Calibri" w:hAnsi="Calibri" w:cs="Calibri"/>
                <w:sz w:val="20"/>
                <w:szCs w:val="20"/>
              </w:rPr>
              <w:t>[61]</w:t>
            </w:r>
            <w:r w:rsidR="0032432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94FE6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493CD52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3DCA56D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67170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8F04A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566B2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1074</w:t>
            </w:r>
          </w:p>
        </w:tc>
        <w:tc>
          <w:tcPr>
            <w:tcW w:w="1682" w:type="dxa"/>
            <w:noWrap/>
            <w:vAlign w:val="center"/>
            <w:hideMark/>
          </w:tcPr>
          <w:p w14:paraId="5FCCFE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9.54 (Range: 1.3 – 66.4)</w:t>
            </w:r>
          </w:p>
        </w:tc>
        <w:tc>
          <w:tcPr>
            <w:tcW w:w="1394" w:type="dxa"/>
            <w:noWrap/>
            <w:vAlign w:val="center"/>
            <w:hideMark/>
          </w:tcPr>
          <w:p w14:paraId="56438C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865CF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1074 (100%)</w:t>
            </w:r>
          </w:p>
        </w:tc>
        <w:tc>
          <w:tcPr>
            <w:tcW w:w="1394" w:type="dxa"/>
            <w:vAlign w:val="center"/>
            <w:hideMark/>
          </w:tcPr>
          <w:p w14:paraId="74CBA9F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1014 (94%)</w:t>
            </w:r>
          </w:p>
        </w:tc>
        <w:tc>
          <w:tcPr>
            <w:tcW w:w="1438" w:type="dxa"/>
            <w:noWrap/>
            <w:vAlign w:val="center"/>
            <w:hideMark/>
          </w:tcPr>
          <w:p w14:paraId="4444C7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7889346" w14:textId="77777777" w:rsidTr="00A3759F">
        <w:trPr>
          <w:trHeight w:val="20"/>
        </w:trPr>
        <w:tc>
          <w:tcPr>
            <w:tcW w:w="1444" w:type="dxa"/>
            <w:noWrap/>
            <w:vAlign w:val="center"/>
            <w:hideMark/>
          </w:tcPr>
          <w:p w14:paraId="3E8EECFA" w14:textId="2DAE55D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Zengin-Akkuş, 2018</w:t>
            </w:r>
            <w:r w:rsidR="00324327" w:rsidRPr="009B66A4">
              <w:rPr>
                <w:rFonts w:ascii="Calibri" w:eastAsia="Times New Roman" w:hAnsi="Calibri" w:cs="Calibri"/>
                <w:kern w:val="0"/>
                <w:sz w:val="20"/>
                <w:szCs w:val="20"/>
                <w14:ligatures w14:val="none"/>
              </w:rPr>
              <w:fldChar w:fldCharType="begin"/>
            </w:r>
            <w:r w:rsidR="00324327" w:rsidRPr="009B66A4">
              <w:rPr>
                <w:rFonts w:ascii="Calibri" w:eastAsia="Times New Roman" w:hAnsi="Calibri" w:cs="Calibri"/>
                <w:kern w:val="0"/>
                <w:sz w:val="20"/>
                <w:szCs w:val="20"/>
                <w14:ligatures w14:val="none"/>
              </w:rPr>
              <w:instrText xml:space="preserve"> ADDIN ZOTERO_ITEM CSL_CITATION {"citationID":"AF7N8hqF","properties":{"formattedCitation":"[62]","plainCitation":"[62]","noteIndex":0},"citationItems":[{"id":2923,"uris":["http://zotero.org/users/11896629/items/MNJN9Z9A"],"itemData":{"id":2923,"type":"article-journal","abstract":"Rett syndrome is a neurodevelopmental disorder caused by mutations in MECP2. The disease is characterized by early neurological regression following a normal initial development. The diagnosis is a clinical one, based on major and minor diagnostic criteria. This study, in a group of patients from a single tertiary center, aimed to evaluate the efficiency of clinical diagnosis and to see if there was a diagnostic delay. A second aim was to investigate genotype-phenotype correlations, based on Pineda scores. In this study, sixteen patients with a median age of 6.5 years (2.5-22 years) were included, following molecular confirmation of clinical diagnosis. The median age at the onset of symptoms and the median age at clinical diagnosis was 1.5 years and 2.5 years, respectively, the difference being statistically significant. Considering the Rett syndrome diagnostic criteria, initially regulated in 2002 and revised in 2010, seven and two patients in our group, respectively, did not meet the main criteria. Pineda scores among mutation groups were statistically not different. To conclude, the present study revealed presence of a diagnostic delay. The challenge may be that the patients do not exhibit full-blown clinical picture initially. No genotype-phenotype correlations were detected in clinical severity, as measured by Pineda scores. Moreover, the diagnostic criteria revised in 2010 are more comprehensive as compared to the 2002 criteria; however, further revision may increase diagnostic sensitivity.","container-title":"The Turkish Journal of Pediatrics","DOI":"10.24953/turkjped.2018.01.001","ISSN":"2791-6421, 0041-4301","issue":"1","journalAbbreviation":"Turk J Pediatr","page":"1-9","source":"DOI.org (Crossref)","title":"Clinical and molecular evaluation of 16 patients with Rett syndrome","volume":"60","author":[{"family":"Zengin-Akkuş","given":"Pınar"},{"family":"Taşkıran","given":"Ekim Z"},{"family":"Kabaçam","given":"Serkan"},{"family":"Şimşek-Kiper","given":"Pelin Özlem"},{"family":"Haliloğlu","given":"Göknur"},{"family":"Boduroğlu","given":"Koray"},{"family":"Utine","given":"Gülen Eda"}],"issued":{"date-parts":[["2018",2,25]]}}}],"schema":"https://github.com/citation-style-language/schema/raw/master/csl-citation.json"} </w:instrText>
            </w:r>
            <w:r w:rsidR="00324327" w:rsidRPr="009B66A4">
              <w:rPr>
                <w:rFonts w:ascii="Calibri" w:eastAsia="Times New Roman" w:hAnsi="Calibri" w:cs="Calibri"/>
                <w:kern w:val="0"/>
                <w:sz w:val="20"/>
                <w:szCs w:val="20"/>
                <w14:ligatures w14:val="none"/>
              </w:rPr>
              <w:fldChar w:fldCharType="separate"/>
            </w:r>
            <w:r w:rsidR="00324327" w:rsidRPr="009B66A4">
              <w:rPr>
                <w:rFonts w:ascii="Calibri" w:hAnsi="Calibri" w:cs="Calibri"/>
                <w:sz w:val="20"/>
                <w:szCs w:val="20"/>
              </w:rPr>
              <w:t>[62]</w:t>
            </w:r>
            <w:r w:rsidR="0032432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C260AD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Turkey</w:t>
            </w:r>
          </w:p>
        </w:tc>
        <w:tc>
          <w:tcPr>
            <w:tcW w:w="1316" w:type="dxa"/>
            <w:noWrap/>
            <w:vAlign w:val="center"/>
            <w:hideMark/>
          </w:tcPr>
          <w:p w14:paraId="2A7B84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Case-reports/Case-series</w:t>
            </w:r>
          </w:p>
        </w:tc>
        <w:tc>
          <w:tcPr>
            <w:tcW w:w="494" w:type="dxa"/>
            <w:noWrap/>
            <w:vAlign w:val="center"/>
            <w:hideMark/>
          </w:tcPr>
          <w:p w14:paraId="5F8A55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8F2FE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D0872D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82983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w:t>
            </w:r>
          </w:p>
        </w:tc>
        <w:tc>
          <w:tcPr>
            <w:tcW w:w="1682" w:type="dxa"/>
            <w:vAlign w:val="center"/>
            <w:hideMark/>
          </w:tcPr>
          <w:p w14:paraId="7BAE91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6.5 (Range: 2.5 – 22)</w:t>
            </w:r>
          </w:p>
        </w:tc>
        <w:tc>
          <w:tcPr>
            <w:tcW w:w="1394" w:type="dxa"/>
            <w:noWrap/>
            <w:vAlign w:val="center"/>
            <w:hideMark/>
          </w:tcPr>
          <w:p w14:paraId="7304E7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E3F9B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 (100%)</w:t>
            </w:r>
          </w:p>
        </w:tc>
        <w:tc>
          <w:tcPr>
            <w:tcW w:w="1394" w:type="dxa"/>
            <w:noWrap/>
            <w:vAlign w:val="center"/>
            <w:hideMark/>
          </w:tcPr>
          <w:p w14:paraId="093D10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 (100%)</w:t>
            </w:r>
          </w:p>
        </w:tc>
        <w:tc>
          <w:tcPr>
            <w:tcW w:w="1438" w:type="dxa"/>
            <w:noWrap/>
            <w:vAlign w:val="center"/>
            <w:hideMark/>
          </w:tcPr>
          <w:p w14:paraId="069BF1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3B10536" w14:textId="77777777" w:rsidTr="00A3759F">
        <w:trPr>
          <w:trHeight w:val="20"/>
        </w:trPr>
        <w:tc>
          <w:tcPr>
            <w:tcW w:w="1444" w:type="dxa"/>
            <w:noWrap/>
            <w:vAlign w:val="center"/>
            <w:hideMark/>
          </w:tcPr>
          <w:p w14:paraId="3D86A744" w14:textId="2DBA264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Mackay, 2018</w:t>
            </w:r>
            <w:r w:rsidR="00324327" w:rsidRPr="009B66A4">
              <w:rPr>
                <w:rFonts w:ascii="Calibri" w:eastAsia="Times New Roman" w:hAnsi="Calibri" w:cs="Calibri"/>
                <w:kern w:val="0"/>
                <w:sz w:val="20"/>
                <w:szCs w:val="20"/>
                <w14:ligatures w14:val="none"/>
              </w:rPr>
              <w:fldChar w:fldCharType="begin"/>
            </w:r>
            <w:r w:rsidR="00C061C3" w:rsidRPr="009B66A4">
              <w:rPr>
                <w:rFonts w:ascii="Calibri" w:eastAsia="Times New Roman" w:hAnsi="Calibri" w:cs="Calibri"/>
                <w:kern w:val="0"/>
                <w:sz w:val="20"/>
                <w:szCs w:val="20"/>
                <w14:ligatures w14:val="none"/>
              </w:rPr>
              <w:instrText xml:space="preserve"> ADDIN ZOTERO_ITEM CSL_CITATION {"citationID":"JqS84kIf","properties":{"formattedCitation":"[63]","plainCitation":"[63]","noteIndex":0},"citationItems":[{"id":3418,"uris":["http://zotero.org/users/11896629/items/EFV28KF5"],"itemData":{"id":3418,"type":"article-journal","abstract":"Aim\n              Respiratory illness is a major cause of morbidity and mortality in Rett syndrome. This study investigated respiratory morbidity and relationships with age, mutation type, feeding, and walking status.\n            \n            \n              Method\n              \n                Families registered with the InterRett database (\n                n\n                =399) provided data on the health of their child with Rett syndrome (age 2–57y). Hospital admissions because of lower respiratory tract infection (\n                LRTI\n                ) over a 5‐year exposure period were investigated by age, mutation type, enteral feeding, and walking status.\n              \n            \n            \n              Results\n              \n                A hospital admission for\n                LRTI\n                over the previous 5 years was reported for slightly more than one‐fifth (21.4%) of individuals. Age and mutation groups did not seem to influence hospital admissions for\n                LRTI\n                but there was nearly twice the risk of an admission with enteral feeding (adjusted relative risk 1.79, 95% confidence interval [\n                CI\n                ] 1.21–2.65). Compared with independent walking, being unable to walk was associated with a sixfold increased risk (adjusted relative risk 6.73, 95%\n                CI\n                3.42–13.25), with assisted walking associated with an intermediate risk.\n              \n            \n            \n              Interpretation\n              Beyond the influence of mutation type, walking seems to have protective effects on respiratory health. Further studies of exercise physiology in Rett syndrome and how this can be influenced by increasing activity levels are indicated.\n            \n            \n              What this paper adds\n              \n                \n                  \n                    Rett syndrome is associated with increased vulnerability to lower respiratory tract infection (LRTI) requiring hospitalization.\n                  \n                  \n                    Enteral feeding is associated with a higher risk of hospital admission for LRTI.\n                  \n                  \n                    Assisted walking mitigates the risk of hospital admission for LRTI for those unable to walk independently.\n                  \n                \n              \n            \n          , \n            Resumen\n            \n              Morbilidad respiratoria en el síndrome de Rett: un estudio observacional\n            \n            \n              Objetivo\n              la enfermedad respiratoria es una causa importante de morbilidad y mortalidad en el síndrome de Rett. Este estudio investigó la morbilidad respiratoria y la relación con la edad, el tipo de mutación, la alimentación y la ambulación.\n            \n            \n              Método\n              \n                las familias registradas en la base de datos InterRett proporcionaron información sobre la salud de sus hijos (2‐57 años de edad) (n = 399). Se estudiaron los ingresos hospitalarios durante un período de 5 años debido a infecciones del tracto respiratorio inferior (\n                ITRI\n                ). Se investigó la relación con la edad, tipo de mutación, alimentación enteral y ambulación.\n              \n            \n            \n              Resultados\n              \n                Durante los 5 años previos se encontró una hospitalización por\n                ITRI\n                en una quinta parte (21,4%) de las personas. Los grupos de edad y mutación no parecían influir en los ingresos hospitalarios por\n                ITRI\n                , pero el riesgo de hospitalización en personas con alimentación enteral fue casi el doble (riesgo relativo ajustado: 1,79; intervalo de confianza [\n                IC\n                ] del 95%: 1,21‐2,65). Comparado con pacientes con marcha independiente, el riesgo de\n                ITRI\n                fue seis veces mayor en aquellos sin capacidad de marcha independiente, (riesgo relativo ajustado 6,73, 95%\n                CI\n                3,42‐13,25), mientras que la marcha asistida estuvo asociada con un riesgo intermedio.\n              \n            \n            \n              Interpretación\n              Más allá del efecto del tipo de mutación, caminar parecería tener un efecto de protección en la salud respiratoria. Se necesitan nuevos estudios de la fisiología del ejercicio en el síndrome de Rett y cómo puede verse influenciada ‐ la presentación clínica ‐ por el aumento de los niveles de actividad.\n            \n          , \n            Resumo\n            \n              Morbidade respiratória na síndrome de Rett\n            \n            \n              Objetivo\n              Doença respiratória é a principal causa de morbidade e mortalidade na síndrome de Rett. Este estudo investiga a morbidade respiratória e sua relação com a idade, tipo de mutação, alimentação e status de marcha.\n            \n            \n              Método\n              \n                Famílias registradas na base de dados InterRett (n=399) providenciaram dados sobre a saúde de seus filhos com síndrome de Rett (idade 2‐57 anos). As admissões hospitalares devido a infeção do trato respiratório inferior (\n                ITRI\n                ) por um período de 5 anos foram investigadas quanto a idade, tipo de mutação, alimentação enteral e status de marcha.\n              \n            \n            \n              Resultado\n              \n                A internação hospitalar por\n                ITRI\n                nos últimos 5 anos foi reportada como ligeiramente maior que um quinto (21,4%) dos indivíduos. Idade e grupos de mutação não pareceram influenciar nas admissões hospitalares por\n                ITRI\n                , porém houve um risco duas vezes maior de admissão com alimentação enteral (risco relativo ajustado 1,79, intervalo de confiança [\n                IC\n                ] 95% 1,21‐2,65). Comparado com a caminhada independente, ser incapaz de andar foi associado a um risco seis vezes maior (risco relativo ajustado 6,75\n                IC\n                95% 3,42‐13,25), com marcha assistida associada a um risco intermediário.\n              \n            \n            \n              Interpretação\n              Para além da influência do tipo de mutação, caminhar parece ter efeitos protetivos sobre a saúde respiratória. São indicados outros estudos sobre fisiologia do exercício na síndrome de Rett e sobre como isso pode ser influenciado pelo aumento dos níveis de atividade.\n            \n          , \n            What this paper adds\n            \n              \n                \n                  Rett syndrome is associated with increased vulnerability to lower respiratory tract infection (LRTI) requiring hospitalization.\n                \n                \n                  Enteral feeding is associated with a higher risk of hospital admission for LRTI.\n                \n                \n                  Assisted walking mitigates the risk of hospital admission for LRTI for those unable to walk independently.\n                \n              \n            \n            This article's abstract has been translated into Spanish and Portuguese.\n            \n              Follow the links from the\n              abstract\n              to view the translations.","container-title":"Developmental Medicine &amp; Child Neurology","DOI":"10.1111/dmcn.13726","ISSN":"0012-1622, 1469-8749","issue":"9","journalAbbreviation":"Develop Med Child Neuro","language":"en","page":"951-957","source":"DOI.org (Crossref)","title":"Respiratory morbidity in Rett syndrome: an observational study","title-short":"Respiratory morbidity in Rett syndrome","volume":"60","author":[{"family":"MacKay","given":"Jessica"},{"family":"Leonard","given":"Helen"},{"family":"Wong","given":"Kingsley"},{"family":"Wilson","given":"Andrew"},{"family":"Downs","given":"Jenny"}],"issued":{"date-parts":[["2018",9]]}}}],"schema":"https://github.com/citation-style-language/schema/raw/master/csl-citation.json"} </w:instrText>
            </w:r>
            <w:r w:rsidR="00324327" w:rsidRPr="009B66A4">
              <w:rPr>
                <w:rFonts w:ascii="Calibri" w:eastAsia="Times New Roman" w:hAnsi="Calibri" w:cs="Calibri"/>
                <w:kern w:val="0"/>
                <w:sz w:val="20"/>
                <w:szCs w:val="20"/>
                <w14:ligatures w14:val="none"/>
              </w:rPr>
              <w:fldChar w:fldCharType="separate"/>
            </w:r>
            <w:r w:rsidR="00C061C3" w:rsidRPr="009B66A4">
              <w:rPr>
                <w:rFonts w:ascii="Calibri" w:hAnsi="Calibri" w:cs="Calibri"/>
                <w:sz w:val="20"/>
                <w:szCs w:val="20"/>
              </w:rPr>
              <w:t>[63]</w:t>
            </w:r>
            <w:r w:rsidR="0032432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1CBB6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 Canada, UK, Australia, China, Ireland, Switzerland</w:t>
            </w:r>
          </w:p>
        </w:tc>
        <w:tc>
          <w:tcPr>
            <w:tcW w:w="1316" w:type="dxa"/>
            <w:noWrap/>
            <w:vAlign w:val="center"/>
            <w:hideMark/>
          </w:tcPr>
          <w:p w14:paraId="2F22E59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68CFACD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226E1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8A55E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B22DDF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399</w:t>
            </w:r>
          </w:p>
        </w:tc>
        <w:tc>
          <w:tcPr>
            <w:tcW w:w="1682" w:type="dxa"/>
            <w:vAlign w:val="center"/>
            <w:hideMark/>
          </w:tcPr>
          <w:p w14:paraId="33AA7A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 years and 6 months (Range: 2 – 57years)</w:t>
            </w:r>
          </w:p>
        </w:tc>
        <w:tc>
          <w:tcPr>
            <w:tcW w:w="1394" w:type="dxa"/>
            <w:noWrap/>
            <w:vAlign w:val="center"/>
            <w:hideMark/>
          </w:tcPr>
          <w:p w14:paraId="2E27102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 (0.5%)</w:t>
            </w:r>
          </w:p>
        </w:tc>
        <w:tc>
          <w:tcPr>
            <w:tcW w:w="1394" w:type="dxa"/>
            <w:noWrap/>
            <w:vAlign w:val="center"/>
            <w:hideMark/>
          </w:tcPr>
          <w:p w14:paraId="2BA33A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397 (99.5%)</w:t>
            </w:r>
          </w:p>
        </w:tc>
        <w:tc>
          <w:tcPr>
            <w:tcW w:w="1394" w:type="dxa"/>
            <w:noWrap/>
            <w:vAlign w:val="center"/>
            <w:hideMark/>
          </w:tcPr>
          <w:p w14:paraId="301773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399 (100%)</w:t>
            </w:r>
          </w:p>
        </w:tc>
        <w:tc>
          <w:tcPr>
            <w:tcW w:w="1438" w:type="dxa"/>
            <w:noWrap/>
            <w:vAlign w:val="center"/>
            <w:hideMark/>
          </w:tcPr>
          <w:p w14:paraId="0EA8903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20F352B" w14:textId="77777777" w:rsidTr="00A3759F">
        <w:trPr>
          <w:trHeight w:val="20"/>
        </w:trPr>
        <w:tc>
          <w:tcPr>
            <w:tcW w:w="1444" w:type="dxa"/>
            <w:noWrap/>
            <w:vAlign w:val="center"/>
            <w:hideMark/>
          </w:tcPr>
          <w:p w14:paraId="6921DF27" w14:textId="23F5D64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Tarquinio, 2018</w:t>
            </w:r>
            <w:r w:rsidR="00C061C3" w:rsidRPr="009B66A4">
              <w:rPr>
                <w:rFonts w:ascii="Calibri" w:eastAsia="Times New Roman" w:hAnsi="Calibri" w:cs="Calibri"/>
                <w:kern w:val="0"/>
                <w:sz w:val="20"/>
                <w:szCs w:val="20"/>
                <w14:ligatures w14:val="none"/>
              </w:rPr>
              <w:fldChar w:fldCharType="begin"/>
            </w:r>
            <w:r w:rsidR="0020605D" w:rsidRPr="009B66A4">
              <w:rPr>
                <w:rFonts w:ascii="Calibri" w:eastAsia="Times New Roman" w:hAnsi="Calibri" w:cs="Calibri"/>
                <w:kern w:val="0"/>
                <w:sz w:val="20"/>
                <w:szCs w:val="20"/>
                <w14:ligatures w14:val="none"/>
              </w:rPr>
              <w:instrText xml:space="preserve"> ADDIN ZOTERO_ITEM CSL_CITATION {"citationID":"EUnra0wN","properties":{"formattedCitation":"[64]","plainCitation":"[64]","noteIndex":0},"citationItems":[{"id":3419,"uris":["http://zotero.org/users/11896629/items/54FTEI2S"],"itemData":{"id":3419,"type":"article-journal","container-title":"Brain and Development","DOI":"10.1016/j.braindev.2018.03.010","ISSN":"03877604","issue":"7","journalAbbreviation":"Brain and Development","language":"en","page":"515-529","source":"DOI.org (Crossref)","title":"The course of awake breathing disturbances across the lifespan in Rett syndrome","volume":"40","author":[{"family":"Tarquinio","given":"Daniel C."},{"family":"Hou","given":"Wei"},{"family":"Neul","given":"Jeffrey L."},{"family":"Berkmen","given":"Gamze Kilic"},{"family":"Drummond","given":"Jana"},{"family":"Aronoff","given":"Elizabeth"},{"family":"Harris","given":"Jennifer"},{"family":"Lane","given":"Jane B."},{"family":"Kaufmann","given":"Walter E."},{"family":"Motil","given":"Kathleen J."},{"family":"Glaze","given":"Daniel G."},{"family":"Skinner","given":"Steven A."},{"family":"Percy","given":"Alan K."}],"issued":{"date-parts":[["2018",8]]}}}],"schema":"https://github.com/citation-style-language/schema/raw/master/csl-citation.json"} </w:instrText>
            </w:r>
            <w:r w:rsidR="00C061C3" w:rsidRPr="009B66A4">
              <w:rPr>
                <w:rFonts w:ascii="Calibri" w:eastAsia="Times New Roman" w:hAnsi="Calibri" w:cs="Calibri"/>
                <w:kern w:val="0"/>
                <w:sz w:val="20"/>
                <w:szCs w:val="20"/>
                <w14:ligatures w14:val="none"/>
              </w:rPr>
              <w:fldChar w:fldCharType="separate"/>
            </w:r>
            <w:r w:rsidR="0020605D" w:rsidRPr="009B66A4">
              <w:rPr>
                <w:rFonts w:ascii="Calibri" w:hAnsi="Calibri" w:cs="Calibri"/>
                <w:sz w:val="20"/>
                <w:szCs w:val="20"/>
              </w:rPr>
              <w:t>[64]</w:t>
            </w:r>
            <w:r w:rsidR="00C061C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37AC2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278FC79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51E9415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C7BF9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B30AF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5BF16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Classical: 922, Atypical: 160</w:t>
            </w:r>
          </w:p>
        </w:tc>
        <w:tc>
          <w:tcPr>
            <w:tcW w:w="1682" w:type="dxa"/>
            <w:vAlign w:val="center"/>
            <w:hideMark/>
          </w:tcPr>
          <w:p w14:paraId="1ED751B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10.2</w:t>
            </w:r>
          </w:p>
        </w:tc>
        <w:tc>
          <w:tcPr>
            <w:tcW w:w="1394" w:type="dxa"/>
            <w:noWrap/>
            <w:vAlign w:val="center"/>
            <w:hideMark/>
          </w:tcPr>
          <w:p w14:paraId="4567585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8B3C5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13B3B58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7046AA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4B917ED" w14:textId="77777777" w:rsidTr="00A3759F">
        <w:trPr>
          <w:trHeight w:val="20"/>
        </w:trPr>
        <w:tc>
          <w:tcPr>
            <w:tcW w:w="1444" w:type="dxa"/>
            <w:noWrap/>
            <w:vAlign w:val="center"/>
            <w:hideMark/>
          </w:tcPr>
          <w:p w14:paraId="7C77AFF9" w14:textId="2EA70034"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Hirano, 2018</w:t>
            </w:r>
            <w:r w:rsidR="0020605D" w:rsidRPr="009B66A4">
              <w:rPr>
                <w:rFonts w:ascii="Calibri" w:eastAsia="Times New Roman" w:hAnsi="Calibri" w:cs="Calibri"/>
                <w:kern w:val="0"/>
                <w:sz w:val="20"/>
                <w:szCs w:val="20"/>
                <w14:ligatures w14:val="none"/>
              </w:rPr>
              <w:fldChar w:fldCharType="begin"/>
            </w:r>
            <w:r w:rsidR="00EC3AC0" w:rsidRPr="009B66A4">
              <w:rPr>
                <w:rFonts w:ascii="Calibri" w:eastAsia="Times New Roman" w:hAnsi="Calibri" w:cs="Calibri"/>
                <w:kern w:val="0"/>
                <w:sz w:val="20"/>
                <w:szCs w:val="20"/>
                <w14:ligatures w14:val="none"/>
              </w:rPr>
              <w:instrText xml:space="preserve"> ADDIN ZOTERO_ITEM CSL_CITATION {"citationID":"dnMRybt9","properties":{"formattedCitation":"[65]","plainCitation":"[65]","noteIndex":0},"citationItems":[{"id":3421,"uris":["http://zotero.org/users/11896629/items/MMAZAPWT"],"itemData":{"id":3421,"type":"article-journal","abstract":"Abstract\n            \n              Objectives\n              The purpose of this study was to investigate the incidence and type of skin injuries and joint contractures of the upper extremities in individuals with Rett syndrome.\n            \n            \n              Methods\n              In 2016, a questionnaire regarding skin injuries and joint contractures was sent to 1016 directors of schools for special needs education and 204 directors of departments of rehabilitation [consisting of 130 facilities for persons with severe motor and intellectual disabilities (SMID), 73 wards for patients with SMID, and the National Hospital Organisation and National Centre Hospital, National Centre of Neurology and Psychiatry] in Japan. Descriptive statistics were used to indicate frequency in each question.\n            \n            \n              Results\n              Information was acquired from 216 cases (3–53 years old) with Rett syndrome. Skin injuries and joint contractures of the upper extremities were observed in 41% and 49% of individuals with Rett syndrome, respectively. Most of the skin injuries were observed on the hands (19%) and fingers (29%). The incidence of skin injuries was not affected by age or disease severity. Many joint contractures were observed in the shoulder (33%) and elbow (29%) joints. Joint contractures tended to occur in individuals aged over 10 years or with severe locomotor impairment.\n            \n            \n              Conclusion\n              Almost half of the Rett syndrome subjects assessed in the present study had skin injuries and joint contractures. Especially, the incidence of joint contractures was affected by age and disease severity. Thus, it is important that medical staff attempt to prevent the occurrence of skin injuries and joint contractures in this patient population.","container-title":"Journal of Intellectual Disability Research","DOI":"10.1111/jir.12452","ISSN":"0964-2633, 1365-2788","issue":"1","journalAbbreviation":"J intellect Disabil Res","language":"en","page":"53-59","source":"DOI.org (Crossref)","title":"Skin injuries and joint contractures of the upper extremities in Rett syndrome","volume":"62","author":[{"family":"Hirano","given":"D."},{"family":"Taniguchi","given":"T."}],"issued":{"date-parts":[["2018",1]]}}}],"schema":"https://github.com/citation-style-language/schema/raw/master/csl-citation.json"} </w:instrText>
            </w:r>
            <w:r w:rsidR="0020605D" w:rsidRPr="009B66A4">
              <w:rPr>
                <w:rFonts w:ascii="Calibri" w:eastAsia="Times New Roman" w:hAnsi="Calibri" w:cs="Calibri"/>
                <w:kern w:val="0"/>
                <w:sz w:val="20"/>
                <w:szCs w:val="20"/>
                <w14:ligatures w14:val="none"/>
              </w:rPr>
              <w:fldChar w:fldCharType="separate"/>
            </w:r>
            <w:r w:rsidR="00EC3AC0" w:rsidRPr="009B66A4">
              <w:rPr>
                <w:rFonts w:ascii="Calibri" w:hAnsi="Calibri" w:cs="Calibri"/>
                <w:sz w:val="20"/>
                <w:szCs w:val="20"/>
              </w:rPr>
              <w:t>[65]</w:t>
            </w:r>
            <w:r w:rsidR="0020605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6A6DF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Japan</w:t>
            </w:r>
          </w:p>
        </w:tc>
        <w:tc>
          <w:tcPr>
            <w:tcW w:w="1316" w:type="dxa"/>
            <w:noWrap/>
            <w:vAlign w:val="center"/>
            <w:hideMark/>
          </w:tcPr>
          <w:p w14:paraId="1ACF03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2CDAA0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70039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EBB87E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5B5968F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216</w:t>
            </w:r>
          </w:p>
        </w:tc>
        <w:tc>
          <w:tcPr>
            <w:tcW w:w="1682" w:type="dxa"/>
            <w:noWrap/>
            <w:vAlign w:val="center"/>
            <w:hideMark/>
          </w:tcPr>
          <w:p w14:paraId="101D4AA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18.9</w:t>
            </w:r>
          </w:p>
        </w:tc>
        <w:tc>
          <w:tcPr>
            <w:tcW w:w="1394" w:type="dxa"/>
            <w:noWrap/>
            <w:vAlign w:val="center"/>
            <w:hideMark/>
          </w:tcPr>
          <w:p w14:paraId="4EC526C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C6E93A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922B62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03B292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2813708" w14:textId="77777777" w:rsidTr="00A3759F">
        <w:trPr>
          <w:trHeight w:val="1042"/>
        </w:trPr>
        <w:tc>
          <w:tcPr>
            <w:tcW w:w="1444" w:type="dxa"/>
            <w:noWrap/>
            <w:vAlign w:val="center"/>
            <w:hideMark/>
          </w:tcPr>
          <w:p w14:paraId="7BD7D1A9" w14:textId="0895ADD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Mancini, 2018</w:t>
            </w:r>
            <w:r w:rsidR="00EC3AC0" w:rsidRPr="009B66A4">
              <w:rPr>
                <w:rFonts w:ascii="Calibri" w:eastAsia="Times New Roman" w:hAnsi="Calibri" w:cs="Calibri"/>
                <w:kern w:val="0"/>
                <w:sz w:val="20"/>
                <w:szCs w:val="20"/>
                <w14:ligatures w14:val="none"/>
              </w:rPr>
              <w:fldChar w:fldCharType="begin"/>
            </w:r>
            <w:r w:rsidR="00A475D8" w:rsidRPr="009B66A4">
              <w:rPr>
                <w:rFonts w:ascii="Calibri" w:eastAsia="Times New Roman" w:hAnsi="Calibri" w:cs="Calibri"/>
                <w:kern w:val="0"/>
                <w:sz w:val="20"/>
                <w:szCs w:val="20"/>
                <w14:ligatures w14:val="none"/>
              </w:rPr>
              <w:instrText xml:space="preserve"> ADDIN ZOTERO_ITEM CSL_CITATION {"citationID":"mBvvcCCF","properties":{"formattedCitation":"[66]","plainCitation":"[66]","noteIndex":0},"citationItems":[{"id":3422,"uris":["http://zotero.org/users/11896629/items/UA4PX98Y"],"itemData":{"id":3422,"type":"article-journal","abstract":"Abstract\n            \n              Objective\n              \n                Rett Syndrome (\n                RTT\n                ) is a severe neurodevelopmental condition with breathing disorders, affecting around one in 10,000 female births. Desipramine, a noradrenaline reuptake inhibitor, reduced the number of apneas in Mecp2‐deficient mice, a model of\n                RTT\n                . We planned a phase 2 trial to test its efficacy and its safety on breathing patterns in 36 girls with\n                RTT\n                .\n              \n            \n            \n              Methods\n              \n                The trial was a 6‐month, multicenter, randomized, double‐blind, placebo‐controlled study registered with ClinicalTrials.gov, number\n                NCT\n                00990691. Girls diagnosed according to clinical examination and confirmed by genotyping were randomly assigned in a 1:1:1 ratio to receive 2–3 mg/kg Desipramine per day (high Desipramine), 1–2 mg/kg Desipramine per day (low Desipramine), or a placebo. The primary outcome was the change of apnea hypopnea index (\n                AHI\n                ), defined by the number of apnea and hypopnea events per hour, assessed at 6 months from baseline. Intention‐to‐treat analysis was applied.\n              \n            \n            \n              Results\n              \n                The median change in\n                AHI\n                from baseline to 6 months was −31 (IQR: −37 to −11) for the high Desipramine, −17.5 (IQR: −31 to 13) for the low Desipramine, and −13 (IQR:−31 to 0) for the placebo group. We did not find any significant difference in these changes between the groups (\n                P\n                 = 0.781). A significant inverse correlation between Desipramine plasma concentration and\n                AHI\n                (\n                r \n                = −0.44;\n                P\n                 = 0.0002) was underlined.\n              \n            \n            \n              Interpretation\n              \n                This first clinical trial of desipramine did not show clinical efficacy. Although required further studies, the significant correlation between Desipramine concentrations and improvement of\n                AHI\n                provided additional and relevant reasons to test the noradrenergic pathway in\n                RTT\n                .","container-title":"Annals of Clinical and Translational Neurology","DOI":"10.1002/acn3.468","ISSN":"2328-9503, 2328-9503","issue":"2","journalAbbreviation":"Ann Clin Transl Neurol","language":"en","page":"118-127","source":"DOI.org (Crossref)","title":"Effect of desipramine on patients with breathing disorders in &lt;span style=\"font-variant:small-caps;\"&gt;RETT&lt;/span&gt; syndrome","title-short":"Effect of desipramine on patients with breathing disorders in &lt;span style=\"font-variant","volume":"5","author":[{"family":"Mancini","given":"Josette"},{"family":"Dubus","given":"Jean‐Christophe"},{"family":"Jouve","given":"Elisabeth"},{"family":"Roux","given":"Jean‐Christophe"},{"family":"Franco","given":"Patricia"},{"family":"Lagrue","given":"Emmanuelle"},{"family":"Castelnau","given":"Pierre"},{"family":"Cances","given":"Claude"},{"family":"Chaix","given":"Yves"},{"family":"Rougeot‐Jung","given":"Christelle"},{"family":"Cornu","given":"Catherine"},{"family":"Desportes","given":"Vincent"},{"family":"Vallée","given":"Louis"},{"family":"Bahi‐Buisson","given":"Nadia"},{"family":"Truillet","given":"Romain"},{"family":"Attolini","given":"Laurence"},{"family":"Villard","given":"Laurent"},{"family":"Blin","given":"Olivier"},{"family":"Micallef","given":"Joëlle"}],"issued":{"date-parts":[["2018",2]]}}}],"schema":"https://github.com/citation-style-language/schema/raw/master/csl-citation.json"} </w:instrText>
            </w:r>
            <w:r w:rsidR="00EC3AC0" w:rsidRPr="009B66A4">
              <w:rPr>
                <w:rFonts w:ascii="Calibri" w:eastAsia="Times New Roman" w:hAnsi="Calibri" w:cs="Calibri"/>
                <w:kern w:val="0"/>
                <w:sz w:val="20"/>
                <w:szCs w:val="20"/>
                <w14:ligatures w14:val="none"/>
              </w:rPr>
              <w:fldChar w:fldCharType="separate"/>
            </w:r>
            <w:r w:rsidR="00A475D8" w:rsidRPr="009B66A4">
              <w:rPr>
                <w:rFonts w:ascii="Calibri" w:hAnsi="Calibri" w:cs="Calibri"/>
                <w:sz w:val="20"/>
                <w:szCs w:val="20"/>
              </w:rPr>
              <w:t>[66]</w:t>
            </w:r>
            <w:r w:rsidR="00EC3AC0"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193364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France</w:t>
            </w:r>
          </w:p>
        </w:tc>
        <w:tc>
          <w:tcPr>
            <w:tcW w:w="1316" w:type="dxa"/>
            <w:noWrap/>
            <w:vAlign w:val="center"/>
            <w:hideMark/>
          </w:tcPr>
          <w:p w14:paraId="2795512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265804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9C3348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0C1D1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69DE4E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w:t>
            </w:r>
          </w:p>
        </w:tc>
        <w:tc>
          <w:tcPr>
            <w:tcW w:w="1682" w:type="dxa"/>
            <w:vAlign w:val="center"/>
            <w:hideMark/>
          </w:tcPr>
          <w:p w14:paraId="026454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10.5 (IQR: 8 – 12)</w:t>
            </w:r>
          </w:p>
        </w:tc>
        <w:tc>
          <w:tcPr>
            <w:tcW w:w="1394" w:type="dxa"/>
            <w:noWrap/>
            <w:vAlign w:val="center"/>
            <w:hideMark/>
          </w:tcPr>
          <w:p w14:paraId="5E18199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D9AB35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 (100%)</w:t>
            </w:r>
          </w:p>
        </w:tc>
        <w:tc>
          <w:tcPr>
            <w:tcW w:w="1394" w:type="dxa"/>
            <w:noWrap/>
            <w:vAlign w:val="center"/>
            <w:hideMark/>
          </w:tcPr>
          <w:p w14:paraId="12DFCA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 (100%)</w:t>
            </w:r>
          </w:p>
        </w:tc>
        <w:tc>
          <w:tcPr>
            <w:tcW w:w="1438" w:type="dxa"/>
            <w:noWrap/>
            <w:vAlign w:val="center"/>
            <w:hideMark/>
          </w:tcPr>
          <w:p w14:paraId="2E7325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median (IQR): 25.5 (18.5–28)</w:t>
            </w:r>
          </w:p>
        </w:tc>
      </w:tr>
      <w:tr w:rsidR="00713B5E" w:rsidRPr="009B66A4" w14:paraId="6E6802F6" w14:textId="77777777" w:rsidTr="00A3759F">
        <w:trPr>
          <w:trHeight w:val="20"/>
        </w:trPr>
        <w:tc>
          <w:tcPr>
            <w:tcW w:w="1444" w:type="dxa"/>
            <w:noWrap/>
            <w:vAlign w:val="center"/>
            <w:hideMark/>
          </w:tcPr>
          <w:p w14:paraId="0228DEEA" w14:textId="5D91E28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Lai, 2018</w:t>
            </w:r>
            <w:r w:rsidR="00A475D8" w:rsidRPr="009B66A4">
              <w:rPr>
                <w:rFonts w:ascii="Calibri" w:eastAsia="Times New Roman" w:hAnsi="Calibri" w:cs="Calibri"/>
                <w:kern w:val="0"/>
                <w:sz w:val="20"/>
                <w:szCs w:val="20"/>
                <w14:ligatures w14:val="none"/>
              </w:rPr>
              <w:fldChar w:fldCharType="begin"/>
            </w:r>
            <w:r w:rsidR="00D340CC" w:rsidRPr="009B66A4">
              <w:rPr>
                <w:rFonts w:ascii="Calibri" w:eastAsia="Times New Roman" w:hAnsi="Calibri" w:cs="Calibri"/>
                <w:kern w:val="0"/>
                <w:sz w:val="20"/>
                <w:szCs w:val="20"/>
                <w14:ligatures w14:val="none"/>
              </w:rPr>
              <w:instrText xml:space="preserve"> ADDIN ZOTERO_ITEM CSL_CITATION {"citationID":"eflr0Rs7","properties":{"formattedCitation":"[67]","plainCitation":"[67]","noteIndex":0},"citationItems":[{"id":3424,"uris":["http://zotero.org/users/11896629/items/RN9LKYJS"],"itemData":{"id":3424,"type":"article-journal","container-title":"BMC Oral Health","DOI":"10.1186/s12903-018-0651-y","ISSN":"1472-6831","issue":"1","journalAbbreviation":"BMC Oral Health","language":"en","page":"195","source":"DOI.org (Crossref)","title":"Oral health experiences of individuals with Rett syndrome: a retrospective study","title-short":"Oral health experiences of individuals with Rett syndrome","volume":"18","author":[{"family":"Lai","given":"Y.Y.L."},{"family":"Wong","given":"K."},{"family":"King","given":"N. M."},{"family":"Downs","given":"J."},{"family":"Leonard","given":"H."}],"issued":{"date-parts":[["2018",12]]}}}],"schema":"https://github.com/citation-style-language/schema/raw/master/csl-citation.json"} </w:instrText>
            </w:r>
            <w:r w:rsidR="00A475D8" w:rsidRPr="009B66A4">
              <w:rPr>
                <w:rFonts w:ascii="Calibri" w:eastAsia="Times New Roman" w:hAnsi="Calibri" w:cs="Calibri"/>
                <w:kern w:val="0"/>
                <w:sz w:val="20"/>
                <w:szCs w:val="20"/>
                <w14:ligatures w14:val="none"/>
              </w:rPr>
              <w:fldChar w:fldCharType="separate"/>
            </w:r>
            <w:r w:rsidR="00D340CC" w:rsidRPr="009B66A4">
              <w:rPr>
                <w:rFonts w:ascii="Calibri" w:hAnsi="Calibri" w:cs="Calibri"/>
                <w:sz w:val="20"/>
                <w:szCs w:val="20"/>
              </w:rPr>
              <w:t>[67]</w:t>
            </w:r>
            <w:r w:rsidR="00A475D8"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4FC628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115D36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FFDF2E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C5C52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CDD5B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2FE64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242</w:t>
            </w:r>
          </w:p>
        </w:tc>
        <w:tc>
          <w:tcPr>
            <w:tcW w:w="1682" w:type="dxa"/>
            <w:noWrap/>
            <w:vAlign w:val="center"/>
            <w:hideMark/>
          </w:tcPr>
          <w:p w14:paraId="5455BBA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80C12E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23E65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EC555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63632A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5369C0B" w14:textId="77777777" w:rsidTr="00A3759F">
        <w:trPr>
          <w:trHeight w:val="20"/>
        </w:trPr>
        <w:tc>
          <w:tcPr>
            <w:tcW w:w="1444" w:type="dxa"/>
            <w:noWrap/>
            <w:vAlign w:val="center"/>
            <w:hideMark/>
          </w:tcPr>
          <w:p w14:paraId="27467D59" w14:textId="3CFB868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Cocca, 2018</w:t>
            </w:r>
            <w:r w:rsidR="00D340CC" w:rsidRPr="009B66A4">
              <w:rPr>
                <w:rFonts w:ascii="Calibri" w:eastAsia="Times New Roman" w:hAnsi="Calibri" w:cs="Calibri"/>
                <w:kern w:val="0"/>
                <w:sz w:val="20"/>
                <w:szCs w:val="20"/>
                <w14:ligatures w14:val="none"/>
              </w:rPr>
              <w:fldChar w:fldCharType="begin"/>
            </w:r>
            <w:r w:rsidR="00F260D3" w:rsidRPr="009B66A4">
              <w:rPr>
                <w:rFonts w:ascii="Calibri" w:eastAsia="Times New Roman" w:hAnsi="Calibri" w:cs="Calibri"/>
                <w:kern w:val="0"/>
                <w:sz w:val="20"/>
                <w:szCs w:val="20"/>
                <w14:ligatures w14:val="none"/>
              </w:rPr>
              <w:instrText xml:space="preserve"> ADDIN ZOTERO_ITEM CSL_CITATION {"citationID":"atG3pI3U","properties":{"formattedCitation":"[68]","plainCitation":"[68]","noteIndex":0},"citationItems":[{"id":2902,"uris":["http://zotero.org/users/11896629/items/ZINJDSJW"],"itemData":{"id":2902,"type":"article-journal","container-title":"Sultan Qaboos University Medical Journal","DOI":"10.18295/squmj.2018.18.04.010","ISSN":"2075-0528","issue":"4","journalAbbreviation":"Sultan Qaboos University Medical Journal","language":"en","license":"http://creativecommons.org/licenses/by-nd/4.0","page":"e489-493","source":"DOI.org (Crossref)","title":"Correlation Between Dysphagia and Malocclusion in Rett Syndrome: A preliminary study","title-short":"Correlation Between Dysphagia and Malocclusion in Rett Syndrome","volume":"18","author":[{"family":"Cocca","given":"Serena"},{"family":"Viviano","given":"Massimo"},{"family":"Loglisci","given":"Michele"},{"family":"Parrini","given":"Stefano"},{"family":"Monciatti","given":"Giovanni"},{"family":"Paganelli","given":"Ilaria I."},{"family":"Livi","given":"Walter"},{"family":"Mezzedimi","given":"Chiara"}],"issued":{"date-parts":[["2019",3,28]]}}}],"schema":"https://github.com/citation-style-language/schema/raw/master/csl-citation.json"} </w:instrText>
            </w:r>
            <w:r w:rsidR="00D340CC" w:rsidRPr="009B66A4">
              <w:rPr>
                <w:rFonts w:ascii="Calibri" w:eastAsia="Times New Roman" w:hAnsi="Calibri" w:cs="Calibri"/>
                <w:kern w:val="0"/>
                <w:sz w:val="20"/>
                <w:szCs w:val="20"/>
                <w14:ligatures w14:val="none"/>
              </w:rPr>
              <w:fldChar w:fldCharType="separate"/>
            </w:r>
            <w:r w:rsidR="00F260D3" w:rsidRPr="009B66A4">
              <w:rPr>
                <w:rFonts w:ascii="Calibri" w:hAnsi="Calibri" w:cs="Calibri"/>
                <w:sz w:val="20"/>
                <w:szCs w:val="20"/>
              </w:rPr>
              <w:t>[68]</w:t>
            </w:r>
            <w:r w:rsidR="00D340C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6437B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75D472A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723F045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697A8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315BD3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4094C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w:t>
            </w:r>
          </w:p>
        </w:tc>
        <w:tc>
          <w:tcPr>
            <w:tcW w:w="1682" w:type="dxa"/>
            <w:noWrap/>
            <w:vAlign w:val="center"/>
            <w:hideMark/>
          </w:tcPr>
          <w:p w14:paraId="53BC99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11.3</w:t>
            </w:r>
          </w:p>
        </w:tc>
        <w:tc>
          <w:tcPr>
            <w:tcW w:w="1394" w:type="dxa"/>
            <w:noWrap/>
            <w:vAlign w:val="center"/>
            <w:hideMark/>
          </w:tcPr>
          <w:p w14:paraId="0556586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C89C8D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 (100%)</w:t>
            </w:r>
          </w:p>
        </w:tc>
        <w:tc>
          <w:tcPr>
            <w:tcW w:w="1394" w:type="dxa"/>
            <w:noWrap/>
            <w:vAlign w:val="center"/>
            <w:hideMark/>
          </w:tcPr>
          <w:p w14:paraId="2CEB02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4ECACD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5C8F70A" w14:textId="77777777" w:rsidTr="00A3759F">
        <w:trPr>
          <w:trHeight w:val="20"/>
        </w:trPr>
        <w:tc>
          <w:tcPr>
            <w:tcW w:w="1444" w:type="dxa"/>
            <w:noWrap/>
            <w:vAlign w:val="center"/>
            <w:hideMark/>
          </w:tcPr>
          <w:p w14:paraId="2B0D319B" w14:textId="0745CBF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Boban, 2018</w:t>
            </w:r>
            <w:r w:rsidR="00F260D3" w:rsidRPr="009B66A4">
              <w:rPr>
                <w:rFonts w:ascii="Calibri" w:eastAsia="Times New Roman" w:hAnsi="Calibri" w:cs="Calibri"/>
                <w:kern w:val="0"/>
                <w:sz w:val="20"/>
                <w:szCs w:val="20"/>
                <w14:ligatures w14:val="none"/>
              </w:rPr>
              <w:fldChar w:fldCharType="begin"/>
            </w:r>
            <w:r w:rsidR="00F260D3" w:rsidRPr="009B66A4">
              <w:rPr>
                <w:rFonts w:ascii="Calibri" w:eastAsia="Times New Roman" w:hAnsi="Calibri" w:cs="Calibri"/>
                <w:kern w:val="0"/>
                <w:sz w:val="20"/>
                <w:szCs w:val="20"/>
                <w14:ligatures w14:val="none"/>
              </w:rPr>
              <w:instrText xml:space="preserve"> ADDIN ZOTERO_ITEM CSL_CITATION {"citationID":"YAawXuGK","properties":{"formattedCitation":"[69]","plainCitation":"[69]","noteIndex":0},"citationItems":[{"id":3313,"uris":["http://zotero.org/users/11896629/items/PMMX4I8G"],"itemData":{"id":3313,"type":"article-journal","abstract":"Sleep disturbances are debilitating for individuals with Rett syndrome (RTT) and their families yet the evidence base for management is poor. We investigated management strategies and their relationships with sleep problems. Data were provided by 364/461 (79%) families with a child with RTT and registered with the International RTT Phenotype Database. Logistic regression models were used to investigate relationships between impacts of sleep problems on the child and family with age group, mutation type, medication type, and sleep hygiene score. Linear regression models were used to estimate the association of disorders of initiating and maintaining sleep (DIMS) with age group, mutation type, medication type, and sleep hygiene. Among those who ever had difficulty falling asleep or night waking, use of any medication was associated with higher odds of moderate/major impact sleep problems (relative to minor/no impact) for the affected child and the family, as well as higher DIMS scores, when compared with the no treatment/nonmedication group accounting for the effects of age, mutation type, and sleep hygiene score. Better use of sleep hygiene practices was associated with lower odds of moderate/major impact on the family (odds ratio 0.60, 95% confidence intervals [CIs] 0.37, 0.98) and lower DIMS scores (geometric mean ratio 0.86, 95%CI 0.80, 0.92) compared with poorer use after adjusting for covariates. Attention to sleep hygiene remains an important management strategy for sleep problems in RTT. Further prospective research is required to investigate efficacy of pharmaceutical treatments.","container-title":"American Journal of Medical Genetics Part A","DOI":"10.1002/ajmg.a.38829","ISSN":"1552-4825, 1552-4833","issue":"7","journalAbbreviation":"American J of Med Genetics Pt A","language":"en","page":"1569-1577","source":"DOI.org (Crossref)","title":"Sleep disturbances in Rett syndrome: Impact and management including use of sleep hygiene practices","title-short":"Sleep disturbances in Rett syndrome","volume":"176","author":[{"family":"Boban","given":"Sharolin"},{"family":"Leonard","given":"Helen"},{"family":"Wong","given":"Kingsley"},{"family":"Wilson","given":"Andrew"},{"family":"Downs","given":"Jenny"}],"issued":{"date-parts":[["2018",7]]}}}],"schema":"https://github.com/citation-style-language/schema/raw/master/csl-citation.json"} </w:instrText>
            </w:r>
            <w:r w:rsidR="00F260D3" w:rsidRPr="009B66A4">
              <w:rPr>
                <w:rFonts w:ascii="Calibri" w:eastAsia="Times New Roman" w:hAnsi="Calibri" w:cs="Calibri"/>
                <w:kern w:val="0"/>
                <w:sz w:val="20"/>
                <w:szCs w:val="20"/>
                <w14:ligatures w14:val="none"/>
              </w:rPr>
              <w:fldChar w:fldCharType="separate"/>
            </w:r>
            <w:r w:rsidR="00F260D3" w:rsidRPr="009B66A4">
              <w:rPr>
                <w:rFonts w:ascii="Calibri" w:hAnsi="Calibri" w:cs="Calibri"/>
                <w:sz w:val="20"/>
                <w:szCs w:val="20"/>
              </w:rPr>
              <w:t>[69]</w:t>
            </w:r>
            <w:r w:rsidR="00F260D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434D8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Seven nationalities (mostly from US and Australia)</w:t>
            </w:r>
          </w:p>
        </w:tc>
        <w:tc>
          <w:tcPr>
            <w:tcW w:w="1316" w:type="dxa"/>
            <w:noWrap/>
            <w:vAlign w:val="center"/>
            <w:hideMark/>
          </w:tcPr>
          <w:p w14:paraId="6A60CF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1F04666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06D8F9D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CF4D1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725FC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364</w:t>
            </w:r>
          </w:p>
        </w:tc>
        <w:tc>
          <w:tcPr>
            <w:tcW w:w="1682" w:type="dxa"/>
            <w:noWrap/>
            <w:vAlign w:val="center"/>
            <w:hideMark/>
          </w:tcPr>
          <w:p w14:paraId="3742D3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14 years and 4 months</w:t>
            </w:r>
          </w:p>
        </w:tc>
        <w:tc>
          <w:tcPr>
            <w:tcW w:w="1394" w:type="dxa"/>
            <w:noWrap/>
            <w:vAlign w:val="center"/>
            <w:hideMark/>
          </w:tcPr>
          <w:p w14:paraId="19A704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7624C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364 (100%)</w:t>
            </w:r>
          </w:p>
        </w:tc>
        <w:tc>
          <w:tcPr>
            <w:tcW w:w="1394" w:type="dxa"/>
            <w:noWrap/>
            <w:vAlign w:val="center"/>
            <w:hideMark/>
          </w:tcPr>
          <w:p w14:paraId="51282D1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364 (100%)</w:t>
            </w:r>
          </w:p>
        </w:tc>
        <w:tc>
          <w:tcPr>
            <w:tcW w:w="1438" w:type="dxa"/>
            <w:noWrap/>
            <w:vAlign w:val="center"/>
            <w:hideMark/>
          </w:tcPr>
          <w:p w14:paraId="0D5660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F33F296" w14:textId="77777777" w:rsidTr="00A3759F">
        <w:trPr>
          <w:trHeight w:val="20"/>
        </w:trPr>
        <w:tc>
          <w:tcPr>
            <w:tcW w:w="1444" w:type="dxa"/>
            <w:vMerge w:val="restart"/>
            <w:noWrap/>
            <w:vAlign w:val="center"/>
            <w:hideMark/>
          </w:tcPr>
          <w:p w14:paraId="49BA1B11" w14:textId="5DD13C8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Henriksen, 2018</w:t>
            </w:r>
            <w:r w:rsidR="00F260D3" w:rsidRPr="009B66A4">
              <w:rPr>
                <w:rFonts w:ascii="Calibri" w:eastAsia="Times New Roman" w:hAnsi="Calibri" w:cs="Calibri"/>
                <w:kern w:val="0"/>
                <w:sz w:val="20"/>
                <w:szCs w:val="20"/>
                <w14:ligatures w14:val="none"/>
              </w:rPr>
              <w:fldChar w:fldCharType="begin"/>
            </w:r>
            <w:r w:rsidR="000B2CED" w:rsidRPr="009B66A4">
              <w:rPr>
                <w:rFonts w:ascii="Calibri" w:eastAsia="Times New Roman" w:hAnsi="Calibri" w:cs="Calibri"/>
                <w:kern w:val="0"/>
                <w:sz w:val="20"/>
                <w:szCs w:val="20"/>
                <w14:ligatures w14:val="none"/>
              </w:rPr>
              <w:instrText xml:space="preserve"> ADDIN ZOTERO_ITEM CSL_CITATION {"citationID":"LtxV7VfJ","properties":{"formattedCitation":"[70]","plainCitation":"[70]","noteIndex":0},"citationItems":[{"id":3428,"uris":["http://zotero.org/users/11896629/items/2SF8BZWY"],"itemData":{"id":3428,"type":"article-journal","container-title":"Epilepsy Research","DOI":"10.1016/j.eplepsyres.2018.06.012","ISSN":"09201211","journalAbbreviation":"Epilepsy Research","language":"en","page":"134-139","source":"DOI.org (Crossref)","title":"Epilepsy in classic Rett syndrome: Course and characteristics in adult age","title-short":"Epilepsy in classic Rett syndrome","volume":"145","author":[{"family":"Henriksen","given":"Mari Wold"},{"family":"Breck","given":"Hilde"},{"family":"Von Tetzchner","given":"Stephen"},{"family":"Paus","given":"Benedicte"},{"family":"Skjeldal","given":"Ola H."},{"family":"Brodtkorb","given":"Eylert"}],"issued":{"date-parts":[["2018",9]]}}}],"schema":"https://github.com/citation-style-language/schema/raw/master/csl-citation.json"} </w:instrText>
            </w:r>
            <w:r w:rsidR="00F260D3" w:rsidRPr="009B66A4">
              <w:rPr>
                <w:rFonts w:ascii="Calibri" w:eastAsia="Times New Roman" w:hAnsi="Calibri" w:cs="Calibri"/>
                <w:kern w:val="0"/>
                <w:sz w:val="20"/>
                <w:szCs w:val="20"/>
                <w14:ligatures w14:val="none"/>
              </w:rPr>
              <w:fldChar w:fldCharType="separate"/>
            </w:r>
            <w:r w:rsidR="000B2CED" w:rsidRPr="009B66A4">
              <w:rPr>
                <w:rFonts w:ascii="Calibri" w:hAnsi="Calibri" w:cs="Calibri"/>
                <w:sz w:val="20"/>
                <w:szCs w:val="20"/>
              </w:rPr>
              <w:t>[70]</w:t>
            </w:r>
            <w:r w:rsidR="00F260D3"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03AD2C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Norway</w:t>
            </w:r>
          </w:p>
        </w:tc>
        <w:tc>
          <w:tcPr>
            <w:tcW w:w="1316" w:type="dxa"/>
            <w:vMerge w:val="restart"/>
            <w:noWrap/>
            <w:vAlign w:val="center"/>
            <w:hideMark/>
          </w:tcPr>
          <w:p w14:paraId="25875B4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54C4BB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1A65BC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4C0EC4C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6DA065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70</w:t>
            </w:r>
          </w:p>
        </w:tc>
        <w:tc>
          <w:tcPr>
            <w:tcW w:w="1682" w:type="dxa"/>
            <w:vMerge w:val="restart"/>
            <w:vAlign w:val="center"/>
            <w:hideMark/>
          </w:tcPr>
          <w:p w14:paraId="3D68A39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21 years (IQR 14 – 34 years)</w:t>
            </w:r>
          </w:p>
        </w:tc>
        <w:tc>
          <w:tcPr>
            <w:tcW w:w="1394" w:type="dxa"/>
            <w:vMerge w:val="restart"/>
            <w:noWrap/>
            <w:vAlign w:val="center"/>
            <w:hideMark/>
          </w:tcPr>
          <w:p w14:paraId="7257BA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2AA3759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70 (100%)</w:t>
            </w:r>
          </w:p>
        </w:tc>
        <w:tc>
          <w:tcPr>
            <w:tcW w:w="1394" w:type="dxa"/>
            <w:vMerge w:val="restart"/>
            <w:noWrap/>
            <w:vAlign w:val="center"/>
            <w:hideMark/>
          </w:tcPr>
          <w:p w14:paraId="5BE3242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67 (96%)</w:t>
            </w:r>
          </w:p>
        </w:tc>
        <w:tc>
          <w:tcPr>
            <w:tcW w:w="1438" w:type="dxa"/>
            <w:vAlign w:val="center"/>
            <w:hideMark/>
          </w:tcPr>
          <w:p w14:paraId="33EEE78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RSSS, mean:</w:t>
            </w:r>
          </w:p>
        </w:tc>
      </w:tr>
      <w:tr w:rsidR="00713B5E" w:rsidRPr="009B66A4" w14:paraId="14048F75" w14:textId="77777777" w:rsidTr="00A3759F">
        <w:trPr>
          <w:trHeight w:val="20"/>
        </w:trPr>
        <w:tc>
          <w:tcPr>
            <w:tcW w:w="1444" w:type="dxa"/>
            <w:vMerge/>
            <w:vAlign w:val="center"/>
            <w:hideMark/>
          </w:tcPr>
          <w:p w14:paraId="36EE639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26EB44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1C06D24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CBD902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F51433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0B8CCDF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3C6DBB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6EE7EAE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22B573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3BDB4E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FD2705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472C92B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9.9 in seizure pattern group 1 (never seizures)</w:t>
            </w:r>
          </w:p>
        </w:tc>
      </w:tr>
      <w:tr w:rsidR="00713B5E" w:rsidRPr="009B66A4" w14:paraId="40B9F509" w14:textId="77777777" w:rsidTr="00A3759F">
        <w:trPr>
          <w:trHeight w:val="20"/>
        </w:trPr>
        <w:tc>
          <w:tcPr>
            <w:tcW w:w="1444" w:type="dxa"/>
            <w:vMerge/>
            <w:vAlign w:val="center"/>
            <w:hideMark/>
          </w:tcPr>
          <w:p w14:paraId="0E00385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97E74B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34F734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5A0667D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42CACFB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99072A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58C621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659AEC8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3710CC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302F87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401E6F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1806320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12.6 in group 2 (seizure-free last five years)</w:t>
            </w:r>
          </w:p>
        </w:tc>
      </w:tr>
      <w:tr w:rsidR="00713B5E" w:rsidRPr="009B66A4" w14:paraId="5EBEA75E" w14:textId="77777777" w:rsidTr="00A3759F">
        <w:trPr>
          <w:trHeight w:val="20"/>
        </w:trPr>
        <w:tc>
          <w:tcPr>
            <w:tcW w:w="1444" w:type="dxa"/>
            <w:vMerge/>
            <w:vAlign w:val="center"/>
            <w:hideMark/>
          </w:tcPr>
          <w:p w14:paraId="38FA207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EBCC9B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B93C38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EC00B1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87692C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7E8B35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53486B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7B20F53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A6C3DF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592C1E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A251D6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0CE596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12.2 in group 3 (active seizures with remissions)</w:t>
            </w:r>
          </w:p>
        </w:tc>
      </w:tr>
      <w:tr w:rsidR="00713B5E" w:rsidRPr="009B66A4" w14:paraId="1EB925B7" w14:textId="77777777" w:rsidTr="00A3759F">
        <w:trPr>
          <w:trHeight w:val="20"/>
        </w:trPr>
        <w:tc>
          <w:tcPr>
            <w:tcW w:w="1444" w:type="dxa"/>
            <w:vMerge/>
            <w:vAlign w:val="center"/>
            <w:hideMark/>
          </w:tcPr>
          <w:p w14:paraId="5327A06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240A44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4EACEA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F06792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666234D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60910E9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7E8A5F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7333038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71AA73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48C93D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00F4EF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2654CF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13.8 in group 4 (active seizures without remissions)</w:t>
            </w:r>
          </w:p>
        </w:tc>
      </w:tr>
      <w:tr w:rsidR="00713B5E" w:rsidRPr="009B66A4" w14:paraId="293BDE0B" w14:textId="77777777" w:rsidTr="00A3759F">
        <w:trPr>
          <w:trHeight w:val="20"/>
        </w:trPr>
        <w:tc>
          <w:tcPr>
            <w:tcW w:w="1444" w:type="dxa"/>
            <w:vMerge w:val="restart"/>
            <w:noWrap/>
            <w:vAlign w:val="center"/>
            <w:hideMark/>
          </w:tcPr>
          <w:p w14:paraId="3FE8B1ED" w14:textId="2F70760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Wong, 2018</w:t>
            </w:r>
            <w:r w:rsidR="000B2CED" w:rsidRPr="009B66A4">
              <w:rPr>
                <w:rFonts w:ascii="Calibri" w:eastAsia="Times New Roman" w:hAnsi="Calibri" w:cs="Calibri"/>
                <w:kern w:val="0"/>
                <w:sz w:val="20"/>
                <w:szCs w:val="20"/>
                <w14:ligatures w14:val="none"/>
              </w:rPr>
              <w:fldChar w:fldCharType="begin"/>
            </w:r>
            <w:r w:rsidR="00835F79" w:rsidRPr="009B66A4">
              <w:rPr>
                <w:rFonts w:ascii="Calibri" w:eastAsia="Times New Roman" w:hAnsi="Calibri" w:cs="Calibri"/>
                <w:kern w:val="0"/>
                <w:sz w:val="20"/>
                <w:szCs w:val="20"/>
                <w14:ligatures w14:val="none"/>
              </w:rPr>
              <w:instrText xml:space="preserve"> ADDIN ZOTERO_ITEM CSL_CITATION {"citationID":"Jnk6x9M2","properties":{"formattedCitation":"[71]","plainCitation":"[71]","noteIndex":0},"citationItems":[{"id":3429,"uris":["http://zotero.org/users/11896629/items/XAC69XHQ"],"itemData":{"id":3429,"type":"article-journal","container-title":"The Journal of Pediatrics","DOI":"10.1016/j.jpeds.2018.04.050","ISSN":"00223476","journalAbbreviation":"The Journal of Pediatrics","language":"en","page":"188-195.e1","source":"DOI.org (Crossref)","title":"Impact of Gastrostomy Placement on Nutritional Status, Physical Health, and Parental Well-Being of Females with Rett Syndrome: A Longitudinal Study of an Australian Population","title-short":"Impact of Gastrostomy Placement on Nutritional Status, Physical Health, and Parental Well-Being of Females with Rett Syndrome","volume":"200","author":[{"family":"Wong","given":"Kingsley"},{"family":"Downs","given":"Jenny"},{"family":"Ellaway","given":"Carolyn"},{"family":"Baikie","given":"Gordon"},{"family":"Ravikumara","given":"Madhur"},{"family":"Jacoby","given":"Peter"},{"family":"Christodoulou","given":"John"},{"family":"Elliott","given":"Elizabeth J."},{"family":"Leonard","given":"Helen"}],"issued":{"date-parts":[["2018",9]]}}}],"schema":"https://github.com/citation-style-language/schema/raw/master/csl-citation.json"} </w:instrText>
            </w:r>
            <w:r w:rsidR="000B2CED" w:rsidRPr="009B66A4">
              <w:rPr>
                <w:rFonts w:ascii="Calibri" w:eastAsia="Times New Roman" w:hAnsi="Calibri" w:cs="Calibri"/>
                <w:kern w:val="0"/>
                <w:sz w:val="20"/>
                <w:szCs w:val="20"/>
                <w14:ligatures w14:val="none"/>
              </w:rPr>
              <w:fldChar w:fldCharType="separate"/>
            </w:r>
            <w:r w:rsidR="00835F79" w:rsidRPr="009B66A4">
              <w:rPr>
                <w:rFonts w:ascii="Calibri" w:hAnsi="Calibri" w:cs="Calibri"/>
                <w:sz w:val="20"/>
                <w:szCs w:val="20"/>
              </w:rPr>
              <w:t>[71]</w:t>
            </w:r>
            <w:r w:rsidR="000B2CED"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5CFE9F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vMerge w:val="restart"/>
            <w:noWrap/>
            <w:vAlign w:val="center"/>
            <w:hideMark/>
          </w:tcPr>
          <w:p w14:paraId="2F443E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6810519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5517641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7D6712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vMerge w:val="restart"/>
            <w:noWrap/>
            <w:vAlign w:val="center"/>
            <w:hideMark/>
          </w:tcPr>
          <w:p w14:paraId="764384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1216</w:t>
            </w:r>
          </w:p>
        </w:tc>
        <w:tc>
          <w:tcPr>
            <w:tcW w:w="1682" w:type="dxa"/>
            <w:vAlign w:val="center"/>
            <w:hideMark/>
          </w:tcPr>
          <w:p w14:paraId="1730E2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(Range)</w:t>
            </w:r>
          </w:p>
        </w:tc>
        <w:tc>
          <w:tcPr>
            <w:tcW w:w="1394" w:type="dxa"/>
            <w:vMerge w:val="restart"/>
            <w:noWrap/>
            <w:vAlign w:val="center"/>
            <w:hideMark/>
          </w:tcPr>
          <w:p w14:paraId="49777D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08164F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1216 (100%)</w:t>
            </w:r>
          </w:p>
        </w:tc>
        <w:tc>
          <w:tcPr>
            <w:tcW w:w="1394" w:type="dxa"/>
            <w:vMerge w:val="restart"/>
            <w:vAlign w:val="center"/>
            <w:hideMark/>
          </w:tcPr>
          <w:p w14:paraId="5AEB03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vAlign w:val="center"/>
            <w:hideMark/>
          </w:tcPr>
          <w:p w14:paraId="04E390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4B3962B" w14:textId="77777777" w:rsidTr="00A3759F">
        <w:trPr>
          <w:trHeight w:val="20"/>
        </w:trPr>
        <w:tc>
          <w:tcPr>
            <w:tcW w:w="1444" w:type="dxa"/>
            <w:vMerge/>
            <w:vAlign w:val="center"/>
            <w:hideMark/>
          </w:tcPr>
          <w:p w14:paraId="78C20ED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47BFDC1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266C438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2267DA6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532700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B00380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273021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2124358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Questionnaire years</w:t>
            </w:r>
          </w:p>
        </w:tc>
        <w:tc>
          <w:tcPr>
            <w:tcW w:w="1394" w:type="dxa"/>
            <w:vMerge/>
            <w:vAlign w:val="center"/>
            <w:hideMark/>
          </w:tcPr>
          <w:p w14:paraId="05272C1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AD3BF0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8546A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198F2C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C8B6884" w14:textId="77777777" w:rsidTr="00A3759F">
        <w:trPr>
          <w:trHeight w:val="20"/>
        </w:trPr>
        <w:tc>
          <w:tcPr>
            <w:tcW w:w="1444" w:type="dxa"/>
            <w:vMerge/>
            <w:vAlign w:val="center"/>
            <w:hideMark/>
          </w:tcPr>
          <w:p w14:paraId="1894A4B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198104E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05A62A1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52A9D78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58BF073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3850F1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2A0C91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3D4F21C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2000: 13 (1 – 24)  </w:t>
            </w:r>
          </w:p>
        </w:tc>
        <w:tc>
          <w:tcPr>
            <w:tcW w:w="1394" w:type="dxa"/>
            <w:vMerge/>
            <w:vAlign w:val="center"/>
            <w:hideMark/>
          </w:tcPr>
          <w:p w14:paraId="1FCF2EB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A3F625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CAC913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234C2DF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C9E791D" w14:textId="77777777" w:rsidTr="00A3759F">
        <w:trPr>
          <w:trHeight w:val="20"/>
        </w:trPr>
        <w:tc>
          <w:tcPr>
            <w:tcW w:w="1444" w:type="dxa"/>
            <w:vMerge/>
            <w:vAlign w:val="center"/>
            <w:hideMark/>
          </w:tcPr>
          <w:p w14:paraId="4B35745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CBDB02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41CCED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1038112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51F6F98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0ACFB39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D2A8CB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44660E6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2002: 13 (2 – 27)</w:t>
            </w:r>
          </w:p>
        </w:tc>
        <w:tc>
          <w:tcPr>
            <w:tcW w:w="1394" w:type="dxa"/>
            <w:vMerge/>
            <w:vAlign w:val="center"/>
            <w:hideMark/>
          </w:tcPr>
          <w:p w14:paraId="1A43FDF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D7266B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8DC261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60AF355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6C1CA484" w14:textId="77777777" w:rsidTr="00A3759F">
        <w:trPr>
          <w:trHeight w:val="20"/>
        </w:trPr>
        <w:tc>
          <w:tcPr>
            <w:tcW w:w="1444" w:type="dxa"/>
            <w:vMerge/>
            <w:vAlign w:val="center"/>
            <w:hideMark/>
          </w:tcPr>
          <w:p w14:paraId="269928F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CC4BCD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028D06F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75094B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6966BED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5B37CF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1CEFC0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2CA79D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2004: 15 (2 – 29)</w:t>
            </w:r>
          </w:p>
        </w:tc>
        <w:tc>
          <w:tcPr>
            <w:tcW w:w="1394" w:type="dxa"/>
            <w:vMerge/>
            <w:vAlign w:val="center"/>
            <w:hideMark/>
          </w:tcPr>
          <w:p w14:paraId="3564E01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9F5520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359C76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6440FB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2535E02E" w14:textId="77777777" w:rsidTr="00A3759F">
        <w:trPr>
          <w:trHeight w:val="20"/>
        </w:trPr>
        <w:tc>
          <w:tcPr>
            <w:tcW w:w="1444" w:type="dxa"/>
            <w:vMerge/>
            <w:vAlign w:val="center"/>
            <w:hideMark/>
          </w:tcPr>
          <w:p w14:paraId="21E05A8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6FCFF2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22D4368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23DCDD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580D717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6C5BD7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B0247A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6183F8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2006: 15 (2 – 30)</w:t>
            </w:r>
          </w:p>
        </w:tc>
        <w:tc>
          <w:tcPr>
            <w:tcW w:w="1394" w:type="dxa"/>
            <w:vMerge/>
            <w:vAlign w:val="center"/>
            <w:hideMark/>
          </w:tcPr>
          <w:p w14:paraId="1EE266F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E94678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E55359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5F5792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46DA0BB0" w14:textId="77777777" w:rsidTr="00A3759F">
        <w:trPr>
          <w:trHeight w:val="20"/>
        </w:trPr>
        <w:tc>
          <w:tcPr>
            <w:tcW w:w="1444" w:type="dxa"/>
            <w:vMerge/>
            <w:vAlign w:val="center"/>
            <w:hideMark/>
          </w:tcPr>
          <w:p w14:paraId="1EE606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99CC20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0DCC195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9F55BF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4D5535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06EB173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3E5331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0AE63BC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2009: 18 (2 – 34)</w:t>
            </w:r>
          </w:p>
        </w:tc>
        <w:tc>
          <w:tcPr>
            <w:tcW w:w="1394" w:type="dxa"/>
            <w:vMerge/>
            <w:vAlign w:val="center"/>
            <w:hideMark/>
          </w:tcPr>
          <w:p w14:paraId="3D90C24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57AB87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004C6A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524547A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51F50F98" w14:textId="77777777" w:rsidTr="00A3759F">
        <w:trPr>
          <w:trHeight w:val="20"/>
        </w:trPr>
        <w:tc>
          <w:tcPr>
            <w:tcW w:w="1444" w:type="dxa"/>
            <w:vMerge/>
            <w:vAlign w:val="center"/>
            <w:hideMark/>
          </w:tcPr>
          <w:p w14:paraId="35FF2D9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1985AF3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8A06A6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D1F214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E4C602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4312B85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0362C6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79526CF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2011: 17 (2 – 35)</w:t>
            </w:r>
          </w:p>
        </w:tc>
        <w:tc>
          <w:tcPr>
            <w:tcW w:w="1394" w:type="dxa"/>
            <w:vMerge/>
            <w:vAlign w:val="center"/>
            <w:hideMark/>
          </w:tcPr>
          <w:p w14:paraId="6A2B421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893E1C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C48315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789A492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0DB2F142" w14:textId="77777777" w:rsidTr="00A3759F">
        <w:trPr>
          <w:trHeight w:val="20"/>
        </w:trPr>
        <w:tc>
          <w:tcPr>
            <w:tcW w:w="1444" w:type="dxa"/>
            <w:noWrap/>
            <w:vAlign w:val="center"/>
            <w:hideMark/>
          </w:tcPr>
          <w:p w14:paraId="41641D80" w14:textId="2DEFCF7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Tarquinio, 2017</w:t>
            </w:r>
            <w:r w:rsidR="00835F79" w:rsidRPr="009B66A4">
              <w:rPr>
                <w:rFonts w:ascii="Calibri" w:eastAsia="Times New Roman" w:hAnsi="Calibri" w:cs="Calibri"/>
                <w:kern w:val="0"/>
                <w:sz w:val="20"/>
                <w:szCs w:val="20"/>
                <w14:ligatures w14:val="none"/>
              </w:rPr>
              <w:fldChar w:fldCharType="begin"/>
            </w:r>
            <w:r w:rsidR="009C3F4D" w:rsidRPr="009B66A4">
              <w:rPr>
                <w:rFonts w:ascii="Calibri" w:eastAsia="Times New Roman" w:hAnsi="Calibri" w:cs="Calibri"/>
                <w:kern w:val="0"/>
                <w:sz w:val="20"/>
                <w:szCs w:val="20"/>
                <w14:ligatures w14:val="none"/>
              </w:rPr>
              <w:instrText xml:space="preserve"> ADDIN ZOTERO_ITEM CSL_CITATION {"citationID":"R7lJZ4XW","properties":{"formattedCitation":"[72]","plainCitation":"[72]","noteIndex":0},"citationItems":[{"id":3430,"uris":["http://zotero.org/users/11896629/items/5FVXLPYC"],"itemData":{"id":3430,"type":"article-journal","container-title":"Brain","DOI":"10.1093/brain/aww302","ISSN":"0006-8950, 1460-2156","issue":"2","journalAbbreviation":"Brain","language":"en","page":"306-318","source":"DOI.org (Crossref)","title":"Longitudinal course of epilepsy in Rett syndrome and related disorders","volume":"140","author":[{"family":"Tarquinio","given":"Daniel C."},{"family":"Hou","given":"Wei"},{"family":"Berg","given":"Anne"},{"family":"Kaufmann","given":"Walter E."},{"family":"Lane","given":"Jane B."},{"family":"Skinner","given":"Steven A."},{"family":"Motil","given":"Kathleen J."},{"family":"Neul","given":"Jeffrey L."},{"family":"Percy","given":"Alan K."},{"family":"Glaze","given":"Daniel G."}],"issued":{"date-parts":[["2017",2]]}}}],"schema":"https://github.com/citation-style-language/schema/raw/master/csl-citation.json"} </w:instrText>
            </w:r>
            <w:r w:rsidR="00835F79" w:rsidRPr="009B66A4">
              <w:rPr>
                <w:rFonts w:ascii="Calibri" w:eastAsia="Times New Roman" w:hAnsi="Calibri" w:cs="Calibri"/>
                <w:kern w:val="0"/>
                <w:sz w:val="20"/>
                <w:szCs w:val="20"/>
                <w14:ligatures w14:val="none"/>
              </w:rPr>
              <w:fldChar w:fldCharType="separate"/>
            </w:r>
            <w:r w:rsidR="009C3F4D" w:rsidRPr="009B66A4">
              <w:rPr>
                <w:rFonts w:ascii="Calibri" w:hAnsi="Calibri" w:cs="Calibri"/>
                <w:sz w:val="20"/>
                <w:szCs w:val="20"/>
              </w:rPr>
              <w:t>[72]</w:t>
            </w:r>
            <w:r w:rsidR="00835F7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8CC84D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19107DE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28B9D17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BA4B8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94479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2E6C1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1183</w:t>
            </w:r>
          </w:p>
        </w:tc>
        <w:tc>
          <w:tcPr>
            <w:tcW w:w="1682" w:type="dxa"/>
            <w:vAlign w:val="center"/>
            <w:hideMark/>
          </w:tcPr>
          <w:p w14:paraId="798D90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2.7 years (IQR 2.0 – 4.1)</w:t>
            </w:r>
          </w:p>
        </w:tc>
        <w:tc>
          <w:tcPr>
            <w:tcW w:w="1394" w:type="dxa"/>
            <w:noWrap/>
            <w:vAlign w:val="center"/>
            <w:hideMark/>
          </w:tcPr>
          <w:p w14:paraId="46DB04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 (4.2%)</w:t>
            </w:r>
          </w:p>
        </w:tc>
        <w:tc>
          <w:tcPr>
            <w:tcW w:w="1394" w:type="dxa"/>
            <w:noWrap/>
            <w:vAlign w:val="center"/>
            <w:hideMark/>
          </w:tcPr>
          <w:p w14:paraId="5B3F15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1133 (95.8%)</w:t>
            </w:r>
          </w:p>
        </w:tc>
        <w:tc>
          <w:tcPr>
            <w:tcW w:w="1394" w:type="dxa"/>
            <w:noWrap/>
            <w:vAlign w:val="center"/>
            <w:hideMark/>
          </w:tcPr>
          <w:p w14:paraId="1E39A0B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98 (8.3%)</w:t>
            </w:r>
          </w:p>
        </w:tc>
        <w:tc>
          <w:tcPr>
            <w:tcW w:w="1438" w:type="dxa"/>
            <w:noWrap/>
            <w:vAlign w:val="center"/>
            <w:hideMark/>
          </w:tcPr>
          <w:p w14:paraId="23D717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EEFEC64" w14:textId="77777777" w:rsidTr="00A3759F">
        <w:trPr>
          <w:trHeight w:val="20"/>
        </w:trPr>
        <w:tc>
          <w:tcPr>
            <w:tcW w:w="1444" w:type="dxa"/>
            <w:noWrap/>
            <w:vAlign w:val="center"/>
            <w:hideMark/>
          </w:tcPr>
          <w:p w14:paraId="24DE1C10" w14:textId="7EEFEB4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Vignoli, 2017</w:t>
            </w:r>
            <w:r w:rsidR="009C3F4D" w:rsidRPr="009B66A4">
              <w:rPr>
                <w:rFonts w:ascii="Calibri" w:eastAsia="Times New Roman" w:hAnsi="Calibri" w:cs="Calibri"/>
                <w:kern w:val="0"/>
                <w:sz w:val="20"/>
                <w:szCs w:val="20"/>
                <w14:ligatures w14:val="none"/>
              </w:rPr>
              <w:fldChar w:fldCharType="begin"/>
            </w:r>
            <w:r w:rsidR="003D686A" w:rsidRPr="009B66A4">
              <w:rPr>
                <w:rFonts w:ascii="Calibri" w:eastAsia="Times New Roman" w:hAnsi="Calibri" w:cs="Calibri"/>
                <w:kern w:val="0"/>
                <w:sz w:val="20"/>
                <w:szCs w:val="20"/>
                <w14:ligatures w14:val="none"/>
              </w:rPr>
              <w:instrText xml:space="preserve"> ADDIN ZOTERO_ITEM CSL_CITATION {"citationID":"4dlLoNMw","properties":{"formattedCitation":"[73]","plainCitation":"[73]","noteIndex":0},"citationItems":[{"id":3432,"uris":["http://zotero.org/users/11896629/items/NX7YKXUX"],"itemData":{"id":3432,"type":"article-journal","container-title":"Epilepsy &amp; Behavior","DOI":"10.1016/j.yebeh.2016.10.006","ISSN":"15255050","journalAbbreviation":"Epilepsy &amp; Behavior","language":"en","page":"27-33","source":"DOI.org (Crossref)","title":"Effectiveness and tolerability of antiepileptic drugs in 104 girls with Rett syndrome","volume":"66","author":[{"family":"Vignoli","given":"Aglaia"},{"family":"Savini","given":"Miriam Nella"},{"family":"Nowbut","given":"Maria Sonia"},{"family":"Peron","given":"Angela"},{"family":"Turner","given":"Katherine"},{"family":"La Briola","given":"Francesca"},{"family":"Canevini","given":"Maria Paola"}],"issued":{"date-parts":[["2017",1]]}}}],"schema":"https://github.com/citation-style-language/schema/raw/master/csl-citation.json"} </w:instrText>
            </w:r>
            <w:r w:rsidR="009C3F4D" w:rsidRPr="009B66A4">
              <w:rPr>
                <w:rFonts w:ascii="Calibri" w:eastAsia="Times New Roman" w:hAnsi="Calibri" w:cs="Calibri"/>
                <w:kern w:val="0"/>
                <w:sz w:val="20"/>
                <w:szCs w:val="20"/>
                <w14:ligatures w14:val="none"/>
              </w:rPr>
              <w:fldChar w:fldCharType="separate"/>
            </w:r>
            <w:r w:rsidR="003D686A" w:rsidRPr="009B66A4">
              <w:rPr>
                <w:rFonts w:ascii="Calibri" w:hAnsi="Calibri" w:cs="Calibri"/>
                <w:sz w:val="20"/>
                <w:szCs w:val="20"/>
              </w:rPr>
              <w:t>[73]</w:t>
            </w:r>
            <w:r w:rsidR="009C3F4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7E7564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00E67C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25377B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C7F63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E2A14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F5852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104</w:t>
            </w:r>
          </w:p>
        </w:tc>
        <w:tc>
          <w:tcPr>
            <w:tcW w:w="1682" w:type="dxa"/>
            <w:vAlign w:val="center"/>
            <w:hideMark/>
          </w:tcPr>
          <w:p w14:paraId="0A6815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13.9</w:t>
            </w:r>
          </w:p>
        </w:tc>
        <w:tc>
          <w:tcPr>
            <w:tcW w:w="1394" w:type="dxa"/>
            <w:vAlign w:val="center"/>
            <w:hideMark/>
          </w:tcPr>
          <w:p w14:paraId="55FC96F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563997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104 (100%)</w:t>
            </w:r>
          </w:p>
        </w:tc>
        <w:tc>
          <w:tcPr>
            <w:tcW w:w="1394" w:type="dxa"/>
            <w:vAlign w:val="center"/>
            <w:hideMark/>
          </w:tcPr>
          <w:p w14:paraId="7A74A0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89 (85.58%)</w:t>
            </w:r>
          </w:p>
        </w:tc>
        <w:tc>
          <w:tcPr>
            <w:tcW w:w="1438" w:type="dxa"/>
            <w:vAlign w:val="center"/>
            <w:hideMark/>
          </w:tcPr>
          <w:p w14:paraId="673D1F8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DAC6BE1" w14:textId="77777777" w:rsidTr="00A3759F">
        <w:trPr>
          <w:trHeight w:val="20"/>
        </w:trPr>
        <w:tc>
          <w:tcPr>
            <w:tcW w:w="1444" w:type="dxa"/>
            <w:noWrap/>
            <w:vAlign w:val="center"/>
            <w:hideMark/>
          </w:tcPr>
          <w:p w14:paraId="454C8A73" w14:textId="3B97B33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Mezzedimi, 2017</w:t>
            </w:r>
            <w:r w:rsidR="003D686A" w:rsidRPr="009B66A4">
              <w:rPr>
                <w:rFonts w:ascii="Calibri" w:eastAsia="Times New Roman" w:hAnsi="Calibri" w:cs="Calibri"/>
                <w:kern w:val="0"/>
                <w:sz w:val="20"/>
                <w:szCs w:val="20"/>
                <w14:ligatures w14:val="none"/>
              </w:rPr>
              <w:fldChar w:fldCharType="begin"/>
            </w:r>
            <w:r w:rsidR="005C5956" w:rsidRPr="009B66A4">
              <w:rPr>
                <w:rFonts w:ascii="Calibri" w:eastAsia="Times New Roman" w:hAnsi="Calibri" w:cs="Calibri"/>
                <w:kern w:val="0"/>
                <w:sz w:val="20"/>
                <w:szCs w:val="20"/>
                <w14:ligatures w14:val="none"/>
              </w:rPr>
              <w:instrText xml:space="preserve"> ADDIN ZOTERO_ITEM CSL_CITATION {"citationID":"cW7vVN06","properties":{"formattedCitation":"[74]","plainCitation":"[74]","noteIndex":0},"citationItems":[{"id":3433,"uris":["http://zotero.org/users/11896629/items/XBRAQC9B"],"itemData":{"id":3433,"type":"article-journal","abstract":"Objectives:\n              Rett syndrome (RS) is a neurodevelopmental disorder and the second major cause of mental retardation in females. The aim of this study was to evaluate swallowing problems of RS patients by endoscopic assessment and compile a list of suggestions for managing feeding and preventing complications.\n            \n            \n              Methods:\n              The sample consisted of 61 female patients (mean age = 13.6 years, range, 2-33 years) admitted to the Department of Neuropsychiatry, where they had previously been diagnosed with RS. Speech evaluation associated with observation during mealtimes was useful to formulate suggestions for caregivers.\n            \n            \n              Results:\n              Progressive deterioration of feeding was commonly noted by caregivers. Fifty-four patients had a history of recurrent episodes of bronchitis. Oral apraxia, dyskinetic tongue movements, prolonged oral stage, and poor bolus formation were the most common findings in all patients.\n            \n            \n              Conclusions:\n              Dysphagia was primarily limited to oral preparatory phases, while the pharyngeal phase was normal in most patients. The high percentage of dysphagia suggests the need to accurately monitor the feeding capability of RS children. It is critical to correctly inform caregivers about safe swallowing procedures to reduce the incidence of fatal complications.","container-title":"Annals of Otology, Rhinology &amp; Laryngology","DOI":"10.1177/0003489417723033","ISSN":"0003-4894, 1943-572X","issue":"9","journalAbbreviation":"Ann Otol Rhinol Laryngol","language":"en","page":"640-645","source":"DOI.org (Crossref)","title":"Dysphagia in Rett Syndrome: A Descriptive Study","title-short":"Dysphagia in Rett Syndrome","volume":"126","author":[{"family":"Mezzedimi","given":"Chiara"},{"family":"Livi","given":"Walter"},{"family":"De Felice","given":"Claudio"},{"family":"Cocca","given":"Serena"}],"issued":{"date-parts":[["2017",9]]}}}],"schema":"https://github.com/citation-style-language/schema/raw/master/csl-citation.json"} </w:instrText>
            </w:r>
            <w:r w:rsidR="003D686A" w:rsidRPr="009B66A4">
              <w:rPr>
                <w:rFonts w:ascii="Calibri" w:eastAsia="Times New Roman" w:hAnsi="Calibri" w:cs="Calibri"/>
                <w:kern w:val="0"/>
                <w:sz w:val="20"/>
                <w:szCs w:val="20"/>
                <w14:ligatures w14:val="none"/>
              </w:rPr>
              <w:fldChar w:fldCharType="separate"/>
            </w:r>
            <w:r w:rsidR="005C5956" w:rsidRPr="009B66A4">
              <w:rPr>
                <w:rFonts w:ascii="Calibri" w:hAnsi="Calibri" w:cs="Calibri"/>
                <w:sz w:val="20"/>
                <w:szCs w:val="20"/>
              </w:rPr>
              <w:t>[74]</w:t>
            </w:r>
            <w:r w:rsidR="003D686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4683A9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4D9D74E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2C9A698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3AD049C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3ABEF7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60DEE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w:t>
            </w:r>
          </w:p>
        </w:tc>
        <w:tc>
          <w:tcPr>
            <w:tcW w:w="1682" w:type="dxa"/>
            <w:vAlign w:val="center"/>
            <w:hideMark/>
          </w:tcPr>
          <w:p w14:paraId="6F84DC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13.6</w:t>
            </w:r>
          </w:p>
        </w:tc>
        <w:tc>
          <w:tcPr>
            <w:tcW w:w="1394" w:type="dxa"/>
            <w:vAlign w:val="center"/>
            <w:hideMark/>
          </w:tcPr>
          <w:p w14:paraId="5719844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08F4F6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 (100%)</w:t>
            </w:r>
          </w:p>
        </w:tc>
        <w:tc>
          <w:tcPr>
            <w:tcW w:w="1394" w:type="dxa"/>
            <w:vAlign w:val="center"/>
            <w:hideMark/>
          </w:tcPr>
          <w:p w14:paraId="38A93FD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52 (85.25%)</w:t>
            </w:r>
          </w:p>
        </w:tc>
        <w:tc>
          <w:tcPr>
            <w:tcW w:w="1438" w:type="dxa"/>
            <w:vAlign w:val="center"/>
            <w:hideMark/>
          </w:tcPr>
          <w:p w14:paraId="5002FC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DEB2A14" w14:textId="77777777" w:rsidTr="00A3759F">
        <w:trPr>
          <w:trHeight w:val="20"/>
        </w:trPr>
        <w:tc>
          <w:tcPr>
            <w:tcW w:w="1444" w:type="dxa"/>
            <w:noWrap/>
            <w:vAlign w:val="center"/>
            <w:hideMark/>
          </w:tcPr>
          <w:p w14:paraId="7AB3614A" w14:textId="40EBA5F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Horne, 2017</w:t>
            </w:r>
            <w:r w:rsidR="005C5956" w:rsidRPr="009B66A4">
              <w:rPr>
                <w:rFonts w:ascii="Calibri" w:eastAsia="Times New Roman" w:hAnsi="Calibri" w:cs="Calibri"/>
                <w:kern w:val="0"/>
                <w:sz w:val="20"/>
                <w:szCs w:val="20"/>
                <w14:ligatures w14:val="none"/>
              </w:rPr>
              <w:fldChar w:fldCharType="begin"/>
            </w:r>
            <w:r w:rsidR="00C95937" w:rsidRPr="009B66A4">
              <w:rPr>
                <w:rFonts w:ascii="Calibri" w:eastAsia="Times New Roman" w:hAnsi="Calibri" w:cs="Calibri"/>
                <w:kern w:val="0"/>
                <w:sz w:val="20"/>
                <w:szCs w:val="20"/>
                <w14:ligatures w14:val="none"/>
              </w:rPr>
              <w:instrText xml:space="preserve"> ADDIN ZOTERO_ITEM CSL_CITATION {"citationID":"uZGhkuoh","properties":{"formattedCitation":"[75]","plainCitation":"[75]","noteIndex":0},"citationItems":[{"id":3434,"uris":["http://zotero.org/users/11896629/items/WCXEXKZJ"],"itemData":{"id":3434,"type":"article-journal","abstract":"Abstract\n            \n              Background\n              Children with severe disability often develop osteoporosis and have an increased risk of fracture. In Rett syndrome, the prevalence of fracture is four times greater than in the general population, and the femur is commonly affected. This study used qualitative methods to investigate the regaining of mobility within 12 months following femoral fracture in Rett syndrome and parent caregiver experiences.\n            \n            \n              Methods\n              \n                Caregivers (\n                n\n                 = 14) of cases registered with the Australian Rett Syndrome Database with a daughter with Rett syndrome were recruited if their daughter sustained a femoral fracture between 2009 and 2014. Median (interquartile range) age at fracture was 11 years and 4 months (8 years and 8 months to 22 years and 3 months). Qualitative methods were used to investigate parent/caregiver experiences and their daughter's recovery following fracture. Themes in the interview data were identified with thematic analysis.\n              \n            \n            \n              Results\n              Operative management was chosen for those walking independently and non‐operative management for most of the remaining. All who walked independently and one of the four who required assistance recovered pre‐operative walking skills within 6 months. Themes identified by caregivers related to the complexities of pain recognition, the caregiver emotional journey and later rebuilding of relationships with service providers.\n            \n            \n              Conclusions\n              Those who walked with assistance were vulnerable to loss of this skill. Difficulties in pain recognition increased time to diagnose fracture, and the acute episode was associated with heightened caregiver stress. Service providers can use family‐centred practice models to support the strengthening of family functioning following this acute event that is surprisingly common in those with severe disability.","container-title":"Child: Care, Health and Development","DOI":"10.1111/cch.12392","ISSN":"0305-1862, 1365-2214","issue":"2","journalAbbreviation":"Child","language":"en","license":"http://onlinelibrary.wiley.com/termsAndConditions#vor","page":"232-239","source":"DOI.org (Crossref)","title":"A qualitative investigation of recovery after femoral fracture in Rett syndrome","volume":"43","author":[{"family":"Horne","given":"T."},{"family":"Leonard","given":"H."},{"family":"Stannage","given":"K."},{"family":"Downs","given":"J."}],"issued":{"date-parts":[["2017",3]]}}}],"schema":"https://github.com/citation-style-language/schema/raw/master/csl-citation.json"} </w:instrText>
            </w:r>
            <w:r w:rsidR="005C5956" w:rsidRPr="009B66A4">
              <w:rPr>
                <w:rFonts w:ascii="Calibri" w:eastAsia="Times New Roman" w:hAnsi="Calibri" w:cs="Calibri"/>
                <w:kern w:val="0"/>
                <w:sz w:val="20"/>
                <w:szCs w:val="20"/>
                <w14:ligatures w14:val="none"/>
              </w:rPr>
              <w:fldChar w:fldCharType="separate"/>
            </w:r>
            <w:r w:rsidR="00C95937" w:rsidRPr="009B66A4">
              <w:rPr>
                <w:rFonts w:ascii="Calibri" w:hAnsi="Calibri" w:cs="Calibri"/>
                <w:sz w:val="20"/>
                <w:szCs w:val="20"/>
              </w:rPr>
              <w:t>[75]</w:t>
            </w:r>
            <w:r w:rsidR="005C5956"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EA849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2924D3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04D3E4D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FFFF80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9DB2D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86DD5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287</w:t>
            </w:r>
          </w:p>
        </w:tc>
        <w:tc>
          <w:tcPr>
            <w:tcW w:w="1682" w:type="dxa"/>
            <w:vAlign w:val="center"/>
            <w:hideMark/>
          </w:tcPr>
          <w:p w14:paraId="08B4CF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1B77D3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5EE895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1BC7D1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5BCBA0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0C40FD3" w14:textId="77777777" w:rsidTr="00A3759F">
        <w:trPr>
          <w:trHeight w:val="20"/>
        </w:trPr>
        <w:tc>
          <w:tcPr>
            <w:tcW w:w="1444" w:type="dxa"/>
            <w:noWrap/>
            <w:vAlign w:val="center"/>
            <w:hideMark/>
          </w:tcPr>
          <w:p w14:paraId="31BA0EE4" w14:textId="75B7035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Rose, 2017</w:t>
            </w:r>
            <w:r w:rsidR="00217C60" w:rsidRPr="009B66A4">
              <w:rPr>
                <w:rFonts w:ascii="Calibri" w:eastAsia="Times New Roman" w:hAnsi="Calibri" w:cs="Calibri"/>
                <w:kern w:val="0"/>
                <w:sz w:val="20"/>
                <w:szCs w:val="20"/>
                <w14:ligatures w14:val="none"/>
              </w:rPr>
              <w:fldChar w:fldCharType="begin"/>
            </w:r>
            <w:r w:rsidR="00786B67" w:rsidRPr="009B66A4">
              <w:rPr>
                <w:rFonts w:ascii="Calibri" w:eastAsia="Times New Roman" w:hAnsi="Calibri" w:cs="Calibri"/>
                <w:kern w:val="0"/>
                <w:sz w:val="20"/>
                <w:szCs w:val="20"/>
                <w14:ligatures w14:val="none"/>
              </w:rPr>
              <w:instrText xml:space="preserve"> ADDIN ZOTERO_ITEM CSL_CITATION {"citationID":"aWIGbvFP","properties":{"formattedCitation":"[76]","plainCitation":"[76]","noteIndex":0},"citationItems":[{"id":3436,"uris":["http://zotero.org/users/11896629/items/KTD8MG2H"],"itemData":{"id":3436,"type":"article-journal","container-title":"Neuropsychology","DOI":"10.1037/neu0000369","ISSN":"1931-1559, 0894-4105","issue":"4","journalAbbreviation":"Neuropsychology","language":"en","license":"http://www.apa.org/pubs/journals/resources/open-access.aspx","page":"403-410","source":"DOI.org (Crossref)","title":"Sustained attention in the face of distractors: A study of children with Rett syndrome.","title-short":"Sustained attention in the face of distractors","volume":"31","author":[{"family":"Rose","given":"Susan A."},{"family":"Wass","given":"Sam"},{"family":"Jankowski","given":"Jeffery J."},{"family":"Feldman","given":"Judith F."},{"family":"Djukic","given":"Aleksandra"}],"issued":{"date-parts":[["2017",5]]}}}],"schema":"https://github.com/citation-style-language/schema/raw/master/csl-citation.json"} </w:instrText>
            </w:r>
            <w:r w:rsidR="00217C60" w:rsidRPr="009B66A4">
              <w:rPr>
                <w:rFonts w:ascii="Calibri" w:eastAsia="Times New Roman" w:hAnsi="Calibri" w:cs="Calibri"/>
                <w:kern w:val="0"/>
                <w:sz w:val="20"/>
                <w:szCs w:val="20"/>
                <w14:ligatures w14:val="none"/>
              </w:rPr>
              <w:fldChar w:fldCharType="separate"/>
            </w:r>
            <w:r w:rsidR="00786B67" w:rsidRPr="009B66A4">
              <w:rPr>
                <w:rFonts w:ascii="Calibri" w:hAnsi="Calibri" w:cs="Calibri"/>
                <w:sz w:val="20"/>
                <w:szCs w:val="20"/>
              </w:rPr>
              <w:t>[76]</w:t>
            </w:r>
            <w:r w:rsidR="00217C60"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9DA218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504657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35A6CA1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AA32B9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0CC47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7D644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w:t>
            </w:r>
          </w:p>
        </w:tc>
        <w:tc>
          <w:tcPr>
            <w:tcW w:w="1682" w:type="dxa"/>
            <w:noWrap/>
            <w:vAlign w:val="center"/>
            <w:hideMark/>
          </w:tcPr>
          <w:p w14:paraId="7216A1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7.4</w:t>
            </w:r>
          </w:p>
        </w:tc>
        <w:tc>
          <w:tcPr>
            <w:tcW w:w="1394" w:type="dxa"/>
            <w:noWrap/>
            <w:vAlign w:val="center"/>
            <w:hideMark/>
          </w:tcPr>
          <w:p w14:paraId="6931476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228E47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 (100%)</w:t>
            </w:r>
          </w:p>
        </w:tc>
        <w:tc>
          <w:tcPr>
            <w:tcW w:w="1394" w:type="dxa"/>
            <w:noWrap/>
            <w:vAlign w:val="center"/>
            <w:hideMark/>
          </w:tcPr>
          <w:p w14:paraId="4752A7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48F742A2" w14:textId="21ACE82E"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RSSS,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8.25 (2.43)</w:t>
            </w:r>
          </w:p>
        </w:tc>
      </w:tr>
      <w:tr w:rsidR="00713B5E" w:rsidRPr="009B66A4" w14:paraId="449BA719" w14:textId="77777777" w:rsidTr="00A3759F">
        <w:trPr>
          <w:trHeight w:val="20"/>
        </w:trPr>
        <w:tc>
          <w:tcPr>
            <w:tcW w:w="1444" w:type="dxa"/>
            <w:noWrap/>
            <w:vAlign w:val="center"/>
            <w:hideMark/>
          </w:tcPr>
          <w:p w14:paraId="0C9FFCBA" w14:textId="4667225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2017</w:t>
            </w:r>
            <w:r w:rsidR="00957A34" w:rsidRPr="009B66A4">
              <w:rPr>
                <w:rFonts w:ascii="Calibri" w:eastAsia="Times New Roman" w:hAnsi="Calibri" w:cs="Calibri"/>
                <w:kern w:val="0"/>
                <w:sz w:val="20"/>
                <w:szCs w:val="20"/>
                <w14:ligatures w14:val="none"/>
              </w:rPr>
              <w:fldChar w:fldCharType="begin"/>
            </w:r>
            <w:r w:rsidR="00ED3C1C" w:rsidRPr="009B66A4">
              <w:rPr>
                <w:rFonts w:ascii="Calibri" w:eastAsia="Times New Roman" w:hAnsi="Calibri" w:cs="Calibri"/>
                <w:kern w:val="0"/>
                <w:sz w:val="20"/>
                <w:szCs w:val="20"/>
                <w14:ligatures w14:val="none"/>
              </w:rPr>
              <w:instrText xml:space="preserve"> ADDIN ZOTERO_ITEM CSL_CITATION {"citationID":"3h98VxXK","properties":{"formattedCitation":"[77]","plainCitation":"[77]","noteIndex":0},"citationItems":[{"id":3437,"uris":["http://zotero.org/users/11896629/items/ARJQEIXE"],"itemData":{"id":3437,"type":"article-journal","abstract":"Aim\n              To quantify, in individuals with Rett syndrome with the capacity to walk, walking‐based activity and sedentary time, and to analyse the influences of age, walking ability, scoliosis, and the severity of epilepsy.\n            \n            \n              Method\n              \n                Sixty‐four participants with a mean age of 17 years and 7 months (standard deviation [\n                SD\n                ] 9y) were recruited from the Australian Rett Syndrome Database for this cross‐sectional study. Each participant wore a StepWatch Activity Monitor for at least 4 days. Linear regression models were used to assess relationships between daily step count and the proportion of waking hours spent in sedentary time with the covariates of age group, walking ability, presence of scoliosis, and frequency of seizures.\n              \n            \n            \n              Results\n              \n                On average, 62% (\n                SD\n                19%) of waking hours were sedentary and 20% (\n                SD\n                8%) was at cadences lower than or equal to 20 steps in a minute. The median daily steps count was 5093 (interquartile range 2026–8602). Compared with females younger than 13 years of age and accounting for the effects of covariates, adults took fewer steps, and both adolescents and adults had more sedentary time.\n              \n            \n            \n              Interpretation\n              Adolescents and adults led the least active lives and would appear to be in particular need of interventions aiming to optimize slow walking‐based physical activity and reduce sedentary time.\n            \n          , \n            What this paper adds\n            \n              \n                \n                  Females with Rett syndrome were sedentary for most waking hours.\n                \n                \n                  Walking‐based physical activity was mostly undertaken at slow cadences.\n                \n                \n                  Both adolescents and adults had more sedentary time than children.\n                \n              \n            \n            \n              This article is commented on by McPhee and Gorter on page\n              566\n              of this issue.","container-title":"Developmental Medicine &amp; Child Neurology","DOI":"10.1111/dmcn.13398","ISSN":"0012-1622, 1469-8749","issue":"6","journalAbbreviation":"Develop Med Child Neuro","language":"en","page":"605-611","source":"DOI.org (Crossref)","title":"Quantification of walking‐based physical activity and sedentary time in individuals with Rett syndrome","volume":"59","author":[{"family":"Downs","given":"Jenny"},{"family":"Leonard","given":"Helen"},{"family":"Wong","given":"Kingsley"},{"family":"Newton","given":"Nikki"},{"family":"Hill","given":"Kylie"}],"issued":{"date-parts":[["2017",6]]}}}],"schema":"https://github.com/citation-style-language/schema/raw/master/csl-citation.json"} </w:instrText>
            </w:r>
            <w:r w:rsidR="00957A34" w:rsidRPr="009B66A4">
              <w:rPr>
                <w:rFonts w:ascii="Calibri" w:eastAsia="Times New Roman" w:hAnsi="Calibri" w:cs="Calibri"/>
                <w:kern w:val="0"/>
                <w:sz w:val="20"/>
                <w:szCs w:val="20"/>
                <w14:ligatures w14:val="none"/>
              </w:rPr>
              <w:fldChar w:fldCharType="separate"/>
            </w:r>
            <w:r w:rsidR="00ED3C1C" w:rsidRPr="009B66A4">
              <w:rPr>
                <w:rFonts w:ascii="Calibri" w:hAnsi="Calibri" w:cs="Calibri"/>
                <w:sz w:val="20"/>
                <w:szCs w:val="20"/>
              </w:rPr>
              <w:t>[77]</w:t>
            </w:r>
            <w:r w:rsidR="00957A3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0AF34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0C859B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7CB153C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9E7A14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624072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F341B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251</w:t>
            </w:r>
          </w:p>
        </w:tc>
        <w:tc>
          <w:tcPr>
            <w:tcW w:w="1682" w:type="dxa"/>
            <w:noWrap/>
            <w:vAlign w:val="center"/>
            <w:hideMark/>
          </w:tcPr>
          <w:p w14:paraId="7CFD68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 years 7months (9 years)</w:t>
            </w:r>
          </w:p>
        </w:tc>
        <w:tc>
          <w:tcPr>
            <w:tcW w:w="1394" w:type="dxa"/>
            <w:noWrap/>
            <w:vAlign w:val="center"/>
            <w:hideMark/>
          </w:tcPr>
          <w:p w14:paraId="2093877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6C145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251 (100%)</w:t>
            </w:r>
          </w:p>
        </w:tc>
        <w:tc>
          <w:tcPr>
            <w:tcW w:w="1394" w:type="dxa"/>
            <w:noWrap/>
            <w:vAlign w:val="center"/>
            <w:hideMark/>
          </w:tcPr>
          <w:p w14:paraId="4F91A5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251 (100%)</w:t>
            </w:r>
          </w:p>
        </w:tc>
        <w:tc>
          <w:tcPr>
            <w:tcW w:w="1438" w:type="dxa"/>
            <w:vAlign w:val="center"/>
            <w:hideMark/>
          </w:tcPr>
          <w:p w14:paraId="218D4BA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0EBF592" w14:textId="77777777" w:rsidTr="00A3759F">
        <w:trPr>
          <w:trHeight w:val="20"/>
        </w:trPr>
        <w:tc>
          <w:tcPr>
            <w:tcW w:w="1444" w:type="dxa"/>
            <w:noWrap/>
            <w:vAlign w:val="center"/>
            <w:hideMark/>
          </w:tcPr>
          <w:p w14:paraId="22663FBA" w14:textId="5B182F6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Lambert, 2017</w:t>
            </w:r>
            <w:r w:rsidR="00ED3C1C" w:rsidRPr="009B66A4">
              <w:rPr>
                <w:rFonts w:ascii="Calibri" w:eastAsia="Times New Roman" w:hAnsi="Calibri" w:cs="Calibri"/>
                <w:kern w:val="0"/>
                <w:sz w:val="20"/>
                <w:szCs w:val="20"/>
                <w14:ligatures w14:val="none"/>
              </w:rPr>
              <w:fldChar w:fldCharType="begin"/>
            </w:r>
            <w:r w:rsidR="00CE00F7" w:rsidRPr="009B66A4">
              <w:rPr>
                <w:rFonts w:ascii="Calibri" w:eastAsia="Times New Roman" w:hAnsi="Calibri" w:cs="Calibri"/>
                <w:kern w:val="0"/>
                <w:sz w:val="20"/>
                <w:szCs w:val="20"/>
                <w14:ligatures w14:val="none"/>
              </w:rPr>
              <w:instrText xml:space="preserve"> ADDIN ZOTERO_ITEM CSL_CITATION {"citationID":"NGku7N4e","properties":{"formattedCitation":"[78]","plainCitation":"[78]","noteIndex":0},"citationItems":[{"id":3438,"uris":["http://zotero.org/users/11896629/items/8A3STUQR"],"itemData":{"id":3438,"type":"article-journal","container-title":"PLOS ONE","DOI":"10.1371/journal.pone.0186941","ISSN":"1932-6203","issue":"10","journalAbbreviation":"PLoS ONE","language":"en","page":"e0186941","source":"DOI.org (Crossref)","title":"Lower incidence of fracture after IV bisphosphonates in girls with Rett syndrome and severe bone fragility","volume":"12","author":[{"family":"Lambert","given":"Anne-Sophie"},{"family":"Rothenbuhler","given":"Anya"},{"family":"Charles","given":"Perrine"},{"family":"Brailly-Tabard","given":"Sylvie"},{"family":"Trabado","given":"Séverine"},{"family":"Célestin","given":"Elisabeth"},{"family":"Durand","given":"Emmanuel"},{"family":"Fontaine","given":"Isabelle"},{"family":"Miladi","given":"Lotfi"},{"family":"Wicart","given":"Philippe"},{"family":"Bahi-Buisson","given":"Nadia"},{"family":"Linglart","given":"Agnès"}],"editor":[{"family":"Landsberger","given":"Nicoletta"}],"issued":{"date-parts":[["2017",10,26]]}}}],"schema":"https://github.com/citation-style-language/schema/raw/master/csl-citation.json"} </w:instrText>
            </w:r>
            <w:r w:rsidR="00ED3C1C" w:rsidRPr="009B66A4">
              <w:rPr>
                <w:rFonts w:ascii="Calibri" w:eastAsia="Times New Roman" w:hAnsi="Calibri" w:cs="Calibri"/>
                <w:kern w:val="0"/>
                <w:sz w:val="20"/>
                <w:szCs w:val="20"/>
                <w14:ligatures w14:val="none"/>
              </w:rPr>
              <w:fldChar w:fldCharType="separate"/>
            </w:r>
            <w:r w:rsidR="00CE00F7" w:rsidRPr="009B66A4">
              <w:rPr>
                <w:rFonts w:ascii="Calibri" w:hAnsi="Calibri" w:cs="Calibri"/>
                <w:sz w:val="20"/>
                <w:szCs w:val="20"/>
              </w:rPr>
              <w:t>[78]</w:t>
            </w:r>
            <w:r w:rsidR="00ED3C1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7A78D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France</w:t>
            </w:r>
          </w:p>
        </w:tc>
        <w:tc>
          <w:tcPr>
            <w:tcW w:w="1316" w:type="dxa"/>
            <w:noWrap/>
            <w:vAlign w:val="center"/>
            <w:hideMark/>
          </w:tcPr>
          <w:p w14:paraId="01F1F34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3A0F63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B7699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FF39AB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0F83DA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w:t>
            </w:r>
          </w:p>
        </w:tc>
        <w:tc>
          <w:tcPr>
            <w:tcW w:w="1682" w:type="dxa"/>
            <w:noWrap/>
            <w:vAlign w:val="center"/>
            <w:hideMark/>
          </w:tcPr>
          <w:p w14:paraId="504F9C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192EEF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89F7A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5935C5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438" w:type="dxa"/>
            <w:noWrap/>
            <w:vAlign w:val="center"/>
            <w:hideMark/>
          </w:tcPr>
          <w:p w14:paraId="7EF751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81784EE" w14:textId="77777777" w:rsidTr="00A3759F">
        <w:trPr>
          <w:trHeight w:val="20"/>
        </w:trPr>
        <w:tc>
          <w:tcPr>
            <w:tcW w:w="1444" w:type="dxa"/>
            <w:vMerge w:val="restart"/>
            <w:noWrap/>
            <w:vAlign w:val="center"/>
            <w:hideMark/>
          </w:tcPr>
          <w:p w14:paraId="2738CA44" w14:textId="5109957F"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Hryniewiecka-Jaworska, 2016</w:t>
            </w:r>
            <w:r w:rsidR="00CE00F7" w:rsidRPr="009B66A4">
              <w:rPr>
                <w:rFonts w:ascii="Calibri" w:eastAsia="Times New Roman" w:hAnsi="Calibri" w:cs="Calibri"/>
                <w:kern w:val="0"/>
                <w:sz w:val="20"/>
                <w:szCs w:val="20"/>
                <w14:ligatures w14:val="none"/>
              </w:rPr>
              <w:fldChar w:fldCharType="begin"/>
            </w:r>
            <w:r w:rsidR="00CE00F7" w:rsidRPr="009B66A4">
              <w:rPr>
                <w:rFonts w:ascii="Calibri" w:eastAsia="Times New Roman" w:hAnsi="Calibri" w:cs="Calibri"/>
                <w:kern w:val="0"/>
                <w:sz w:val="20"/>
                <w:szCs w:val="20"/>
                <w14:ligatures w14:val="none"/>
              </w:rPr>
              <w:instrText xml:space="preserve"> ADDIN ZOTERO_ITEM CSL_CITATION {"citationID":"oSfPa4n3","properties":{"formattedCitation":"[79]","plainCitation":"[79]","noteIndex":0},"citationItems":[{"id":2915,"uris":["http://zotero.org/users/11896629/items/2APUJ7VK"],"itemData":{"id":2915,"type":"article-journal","abstract":"Abstract\n            \n              Background\n              Little is known about depression among women with Rett syndrome (RTT) despite recent advances in knowledge about RTT. In this study, we aimed to establish the prevalence of depression among women with RTT as identified by a screening telephone interview and to explore the clinical factors associated with this.\n            \n            \n              Methods\n              The study employed the cross‐sectional analysis of data from telephone interviews with carers of 56 women with RTT, using validated questionnaires for assessing mental health problems, challenging behaviour and RTT severity.\n            \n            \n              Results\n              Scores on the mental health assessment reached the affective/neurotic threshold in eight cases (14.3%). No significant differences were found between those reaching the threshold and those who did not in terms of severity of RTT phenotype, health problems or social circumstances. There was a significant association between screening identified depression and higher lethargy and social withdrawal.\n            \n            \n              Conclusions\n              Screening identified depression was found among a sizeable minority of women with RTT. Further investigation is needed to establish a clinically validated prevalence of depression among this group and to identify behavioural features that would lead to prompt psychiatric assessment.","container-title":"Journal of Intellectual Disability Research","DOI":"10.1111/jir.12270","ISSN":"0964-2633, 1365-2788","issue":"6","journalAbbreviation":"J intellect Disabil Res","language":"en","page":"564-570","source":"DOI.org (Crossref)","title":"Prevalence and associated features of depression in women with Rett syndrome","volume":"60","author":[{"family":"Hryniewiecka‐Jaworska","given":"A."},{"family":"Foden","given":"E."},{"family":"Kerr","given":"M."},{"family":"Felce","given":"D."},{"family":"Clarke","given":"A."}],"issued":{"date-parts":[["2016",6]]}}}],"schema":"https://github.com/citation-style-language/schema/raw/master/csl-citation.json"} </w:instrText>
            </w:r>
            <w:r w:rsidR="00CE00F7" w:rsidRPr="009B66A4">
              <w:rPr>
                <w:rFonts w:ascii="Calibri" w:eastAsia="Times New Roman" w:hAnsi="Calibri" w:cs="Calibri"/>
                <w:kern w:val="0"/>
                <w:sz w:val="20"/>
                <w:szCs w:val="20"/>
                <w14:ligatures w14:val="none"/>
              </w:rPr>
              <w:fldChar w:fldCharType="separate"/>
            </w:r>
            <w:r w:rsidR="00CE00F7" w:rsidRPr="009B66A4">
              <w:rPr>
                <w:rFonts w:ascii="Calibri" w:hAnsi="Calibri" w:cs="Calibri"/>
                <w:sz w:val="20"/>
                <w:szCs w:val="20"/>
              </w:rPr>
              <w:t>[79]</w:t>
            </w:r>
            <w:r w:rsidR="00CE00F7"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8B45F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vMerge w:val="restart"/>
            <w:noWrap/>
            <w:vAlign w:val="center"/>
            <w:hideMark/>
          </w:tcPr>
          <w:p w14:paraId="4AC678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3B063FD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79CB0F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7E1C25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18DF91D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w:t>
            </w:r>
          </w:p>
        </w:tc>
        <w:tc>
          <w:tcPr>
            <w:tcW w:w="1682" w:type="dxa"/>
            <w:vAlign w:val="center"/>
            <w:hideMark/>
          </w:tcPr>
          <w:p w14:paraId="53EB57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Affective/neurotic disorder: 29.8 (9.56)</w:t>
            </w:r>
          </w:p>
        </w:tc>
        <w:tc>
          <w:tcPr>
            <w:tcW w:w="1394" w:type="dxa"/>
            <w:vMerge w:val="restart"/>
            <w:vAlign w:val="center"/>
            <w:hideMark/>
          </w:tcPr>
          <w:p w14:paraId="067D14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0793A4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 (100%)</w:t>
            </w:r>
          </w:p>
        </w:tc>
        <w:tc>
          <w:tcPr>
            <w:tcW w:w="1394" w:type="dxa"/>
            <w:vMerge w:val="restart"/>
            <w:vAlign w:val="center"/>
            <w:hideMark/>
          </w:tcPr>
          <w:p w14:paraId="4622A25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56 (100%)</w:t>
            </w:r>
          </w:p>
        </w:tc>
        <w:tc>
          <w:tcPr>
            <w:tcW w:w="1438" w:type="dxa"/>
            <w:vMerge w:val="restart"/>
            <w:vAlign w:val="center"/>
            <w:hideMark/>
          </w:tcPr>
          <w:p w14:paraId="39BB0E1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E149B6E" w14:textId="77777777" w:rsidTr="00A3759F">
        <w:trPr>
          <w:trHeight w:val="20"/>
        </w:trPr>
        <w:tc>
          <w:tcPr>
            <w:tcW w:w="1444" w:type="dxa"/>
            <w:vMerge/>
            <w:vAlign w:val="center"/>
            <w:hideMark/>
          </w:tcPr>
          <w:p w14:paraId="195387B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48B190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74B0F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5AA46D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06DCE9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F9AB71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D6ED77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004C5E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Without any disorder: 30.2 (10.86)</w:t>
            </w:r>
          </w:p>
        </w:tc>
        <w:tc>
          <w:tcPr>
            <w:tcW w:w="1394" w:type="dxa"/>
            <w:vMerge/>
            <w:vAlign w:val="center"/>
            <w:hideMark/>
          </w:tcPr>
          <w:p w14:paraId="0CDC9F6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6DC2B9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780A9F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2E05582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BF47A59" w14:textId="77777777" w:rsidTr="00A3759F">
        <w:trPr>
          <w:trHeight w:val="20"/>
        </w:trPr>
        <w:tc>
          <w:tcPr>
            <w:tcW w:w="1444" w:type="dxa"/>
            <w:vMerge w:val="restart"/>
            <w:noWrap/>
            <w:vAlign w:val="center"/>
            <w:hideMark/>
          </w:tcPr>
          <w:p w14:paraId="179B7FB7" w14:textId="32EB3B0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Knight, 2016</w:t>
            </w:r>
            <w:r w:rsidR="00CE00F7" w:rsidRPr="009B66A4">
              <w:rPr>
                <w:rFonts w:ascii="Calibri" w:eastAsia="Times New Roman" w:hAnsi="Calibri" w:cs="Calibri"/>
                <w:kern w:val="0"/>
                <w:sz w:val="20"/>
                <w:szCs w:val="20"/>
                <w14:ligatures w14:val="none"/>
              </w:rPr>
              <w:fldChar w:fldCharType="begin"/>
            </w:r>
            <w:r w:rsidR="00CE00F7" w:rsidRPr="009B66A4">
              <w:rPr>
                <w:rFonts w:ascii="Calibri" w:eastAsia="Times New Roman" w:hAnsi="Calibri" w:cs="Calibri"/>
                <w:kern w:val="0"/>
                <w:sz w:val="20"/>
                <w:szCs w:val="20"/>
                <w14:ligatures w14:val="none"/>
              </w:rPr>
              <w:instrText xml:space="preserve"> ADDIN ZOTERO_ITEM CSL_CITATION {"citationID":"gSm66u19","properties":{"formattedCitation":"[80]","plainCitation":"[80]","noteIndex":0},"citationItems":[{"id":2918,"uris":["http://zotero.org/users/11896629/items/KXHD5HPM"],"itemData":{"id":2918,"type":"article-journal","container-title":"Pediatric Neurology","DOI":"10.1016/j.pediatrneurol.2016.06.016","ISSN":"08878994","journalAbbreviation":"Pediatric Neurology","language":"en","page":"66-70","source":"DOI.org (Crossref)","title":"The Clinical Predictors That Facilitate a Clinician's Decision to Order Genetic Testing for Rett Syndrome","volume":"63","author":[{"family":"Knight","given":"Vinita Misra"},{"family":"Horn","given":"Paul S."},{"family":"Gilbert","given":"Donald L."},{"family":"Standridge","given":"Shannon M."}],"issued":{"date-parts":[["2016",10]]}}}],"schema":"https://github.com/citation-style-language/schema/raw/master/csl-citation.json"} </w:instrText>
            </w:r>
            <w:r w:rsidR="00CE00F7" w:rsidRPr="009B66A4">
              <w:rPr>
                <w:rFonts w:ascii="Calibri" w:eastAsia="Times New Roman" w:hAnsi="Calibri" w:cs="Calibri"/>
                <w:kern w:val="0"/>
                <w:sz w:val="20"/>
                <w:szCs w:val="20"/>
                <w14:ligatures w14:val="none"/>
              </w:rPr>
              <w:fldChar w:fldCharType="separate"/>
            </w:r>
            <w:r w:rsidR="00CE00F7" w:rsidRPr="009B66A4">
              <w:rPr>
                <w:rFonts w:ascii="Calibri" w:hAnsi="Calibri" w:cs="Calibri"/>
                <w:sz w:val="20"/>
                <w:szCs w:val="20"/>
              </w:rPr>
              <w:t>[80]</w:t>
            </w:r>
            <w:r w:rsidR="00CE00F7"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37F3E2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03808A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755F873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6CD3E5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1814B41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6D4E23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169</w:t>
            </w:r>
          </w:p>
        </w:tc>
        <w:tc>
          <w:tcPr>
            <w:tcW w:w="1682" w:type="dxa"/>
            <w:vAlign w:val="center"/>
            <w:hideMark/>
          </w:tcPr>
          <w:p w14:paraId="69C3782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MECP2+: 13.4 (10.1)</w:t>
            </w:r>
          </w:p>
        </w:tc>
        <w:tc>
          <w:tcPr>
            <w:tcW w:w="1394" w:type="dxa"/>
            <w:vMerge w:val="restart"/>
            <w:vAlign w:val="center"/>
            <w:hideMark/>
          </w:tcPr>
          <w:p w14:paraId="0AE575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1FD83564" w14:textId="0D80F86F"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MECP2</w:t>
            </w:r>
            <w:r w:rsidR="00A3759F" w:rsidRPr="009B66A4">
              <w:rPr>
                <w:rFonts w:ascii="Calibri" w:eastAsia="Times New Roman" w:hAnsi="Calibri" w:cs="Calibri"/>
                <w:kern w:val="0"/>
                <w:sz w:val="20"/>
                <w:szCs w:val="20"/>
                <w14:ligatures w14:val="none"/>
              </w:rPr>
              <w:t>+:</w:t>
            </w:r>
            <w:r w:rsidRPr="009B66A4">
              <w:rPr>
                <w:rFonts w:ascii="Calibri" w:eastAsia="Times New Roman" w:hAnsi="Calibri" w:cs="Calibri"/>
                <w:kern w:val="0"/>
                <w:sz w:val="20"/>
                <w:szCs w:val="20"/>
                <w14:ligatures w14:val="none"/>
              </w:rPr>
              <w:t xml:space="preserve"> 43 (93.4%)</w:t>
            </w:r>
          </w:p>
        </w:tc>
        <w:tc>
          <w:tcPr>
            <w:tcW w:w="1394" w:type="dxa"/>
            <w:vMerge w:val="restart"/>
            <w:vAlign w:val="center"/>
            <w:hideMark/>
          </w:tcPr>
          <w:p w14:paraId="44850B0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169 (100%)</w:t>
            </w:r>
          </w:p>
        </w:tc>
        <w:tc>
          <w:tcPr>
            <w:tcW w:w="1438" w:type="dxa"/>
            <w:vMerge w:val="restart"/>
            <w:vAlign w:val="center"/>
            <w:hideMark/>
          </w:tcPr>
          <w:p w14:paraId="3F04F3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AA8493A" w14:textId="77777777" w:rsidTr="00A3759F">
        <w:trPr>
          <w:trHeight w:val="20"/>
        </w:trPr>
        <w:tc>
          <w:tcPr>
            <w:tcW w:w="1444" w:type="dxa"/>
            <w:vMerge/>
            <w:vAlign w:val="center"/>
            <w:hideMark/>
          </w:tcPr>
          <w:p w14:paraId="2D06869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E663C0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319A4F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9DAA26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395EB6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974333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9DDC7A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7C4149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MECP2 –: 6.2 (5.1)</w:t>
            </w:r>
          </w:p>
        </w:tc>
        <w:tc>
          <w:tcPr>
            <w:tcW w:w="1394" w:type="dxa"/>
            <w:vMerge/>
            <w:vAlign w:val="center"/>
            <w:hideMark/>
          </w:tcPr>
          <w:p w14:paraId="6FACB82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5022245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MECP2- : 114 (93.0%)</w:t>
            </w:r>
          </w:p>
        </w:tc>
        <w:tc>
          <w:tcPr>
            <w:tcW w:w="1394" w:type="dxa"/>
            <w:vMerge/>
            <w:vAlign w:val="center"/>
            <w:hideMark/>
          </w:tcPr>
          <w:p w14:paraId="48D9B61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632A591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18691BF7" w14:textId="77777777" w:rsidTr="00A3759F">
        <w:trPr>
          <w:trHeight w:val="20"/>
        </w:trPr>
        <w:tc>
          <w:tcPr>
            <w:tcW w:w="1444" w:type="dxa"/>
            <w:noWrap/>
            <w:vAlign w:val="center"/>
            <w:hideMark/>
          </w:tcPr>
          <w:p w14:paraId="550E24AA" w14:textId="1968215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Boban, 2016</w:t>
            </w:r>
            <w:r w:rsidR="00CE00F7" w:rsidRPr="009B66A4">
              <w:rPr>
                <w:rFonts w:ascii="Calibri" w:eastAsia="Times New Roman" w:hAnsi="Calibri" w:cs="Calibri"/>
                <w:kern w:val="0"/>
                <w:sz w:val="20"/>
                <w:szCs w:val="20"/>
                <w14:ligatures w14:val="none"/>
              </w:rPr>
              <w:fldChar w:fldCharType="begin"/>
            </w:r>
            <w:r w:rsidR="00470049" w:rsidRPr="009B66A4">
              <w:rPr>
                <w:rFonts w:ascii="Calibri" w:eastAsia="Times New Roman" w:hAnsi="Calibri" w:cs="Calibri"/>
                <w:kern w:val="0"/>
                <w:sz w:val="20"/>
                <w:szCs w:val="20"/>
                <w14:ligatures w14:val="none"/>
              </w:rPr>
              <w:instrText xml:space="preserve"> ADDIN ZOTERO_ITEM CSL_CITATION {"citationID":"GVYAFVDu","properties":{"formattedCitation":"[81]","plainCitation":"[81]","noteIndex":0},"citationItems":[{"id":3440,"uris":["http://zotero.org/users/11896629/items/JYWWDWHI"],"itemData":{"id":3440,"type":"article-journal","abstract":"Rett syndrome is a rare but severe neurological disorder associated with a mutation in the methyl CpG binding protein 2 (\n                MECP2\n                ) gene. Sleep problems and epilepsy are two of many comorbidities associated with this disorder. This study investigated the prevalence and determinants of sleep problems in Rett syndrome using an international sample. Families with a child with a confirmed Rett syndrome diagnosis and a\n                MECP2\n                mutation registered in the International Rett Syndrome Phenotype Database (InterRett) were invited to participate. Questionnaires were returned by 364/461 (78.9%) either in web‐based or paper format. Families completed the Sleep Disturbance Scale for Children and provided information on the presence, nature, and frequency of their child's sleep problems. Multivariate multinomial regression was used to investigate the relationships between selected sleep problems, age group, and genotype and linear regression for the relationships between sleep disturbance scales and a range of covariates. Night waking was the most prevalent sleep problem affecting over 80% with nearly half (48.3%) currently waking often at night. Initiating and maintaining sleep was most disturbed for younger children and those with a p.Arg294* mutation. Severe seizure activity was associated with poor sleep after adjusting for age group, mutation type, and mobility. We were surprised to find associations between the p.Arg294* mutation and some sleep disturbances given that other aspects of its phenotype are milder. These findings highlight the complexities of aberrant MECP2 function in Rett syndrome and explain some of the variation in manifestation of sleep disturbances. © 2016 Wiley Periodicals, Inc.","container-title":"American Journal of Medical Genetics Part A","DOI":"10.1002/ajmg.a.37784","ISSN":"1552-4825, 1552-4833","issue":"9","journalAbbreviation":"American J of Med Genetics Pt A","language":"en","license":"http://onlinelibrary.wiley.com/termsAndConditions#vor","page":"2292-2300","source":"DOI.org (Crossref)","title":"Determinants of sleep disturbances in Rett syndrome: Novel findings in relation to genotype","title-short":"Determinants of sleep disturbances in Rett syndrome","volume":"170","author":[{"family":"Boban","given":"Sharolin"},{"family":"Wong","given":"Kingsley"},{"family":"Epstein","given":"Amy"},{"family":"Anderson","given":"Barbara"},{"family":"Murphy","given":"Nada"},{"family":"Downs","given":"Jenny"},{"family":"Leonard","given":"Helen"}],"issued":{"date-parts":[["2016",9]]}}}],"schema":"https://github.com/citation-style-language/schema/raw/master/csl-citation.json"} </w:instrText>
            </w:r>
            <w:r w:rsidR="00CE00F7" w:rsidRPr="009B66A4">
              <w:rPr>
                <w:rFonts w:ascii="Calibri" w:eastAsia="Times New Roman" w:hAnsi="Calibri" w:cs="Calibri"/>
                <w:kern w:val="0"/>
                <w:sz w:val="20"/>
                <w:szCs w:val="20"/>
                <w14:ligatures w14:val="none"/>
              </w:rPr>
              <w:fldChar w:fldCharType="separate"/>
            </w:r>
            <w:r w:rsidR="00470049" w:rsidRPr="009B66A4">
              <w:rPr>
                <w:rFonts w:ascii="Calibri" w:hAnsi="Calibri" w:cs="Calibri"/>
                <w:sz w:val="20"/>
                <w:szCs w:val="20"/>
              </w:rPr>
              <w:t>[81]</w:t>
            </w:r>
            <w:r w:rsidR="00CE00F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AA16B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Multiple (country names not mentioned)</w:t>
            </w:r>
          </w:p>
        </w:tc>
        <w:tc>
          <w:tcPr>
            <w:tcW w:w="1316" w:type="dxa"/>
            <w:noWrap/>
            <w:vAlign w:val="center"/>
            <w:hideMark/>
          </w:tcPr>
          <w:p w14:paraId="3DA5A3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67F5B5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EDF14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F1430C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4A0D0C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364</w:t>
            </w:r>
          </w:p>
        </w:tc>
        <w:tc>
          <w:tcPr>
            <w:tcW w:w="1682" w:type="dxa"/>
            <w:vAlign w:val="center"/>
            <w:hideMark/>
          </w:tcPr>
          <w:p w14:paraId="28767E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14.5 (Range: 2.1 – 57.2)</w:t>
            </w:r>
          </w:p>
        </w:tc>
        <w:tc>
          <w:tcPr>
            <w:tcW w:w="1394" w:type="dxa"/>
            <w:vAlign w:val="center"/>
            <w:hideMark/>
          </w:tcPr>
          <w:p w14:paraId="64D503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 (0.54%)</w:t>
            </w:r>
          </w:p>
        </w:tc>
        <w:tc>
          <w:tcPr>
            <w:tcW w:w="1394" w:type="dxa"/>
            <w:vAlign w:val="center"/>
            <w:hideMark/>
          </w:tcPr>
          <w:p w14:paraId="5B05B1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362 (99.46%)</w:t>
            </w:r>
          </w:p>
        </w:tc>
        <w:tc>
          <w:tcPr>
            <w:tcW w:w="1394" w:type="dxa"/>
            <w:vAlign w:val="center"/>
            <w:hideMark/>
          </w:tcPr>
          <w:p w14:paraId="04694B1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364 (100%)</w:t>
            </w:r>
          </w:p>
        </w:tc>
        <w:tc>
          <w:tcPr>
            <w:tcW w:w="1438" w:type="dxa"/>
            <w:vAlign w:val="center"/>
            <w:hideMark/>
          </w:tcPr>
          <w:p w14:paraId="567317E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A7BDB6C" w14:textId="77777777" w:rsidTr="00A3759F">
        <w:trPr>
          <w:trHeight w:val="20"/>
        </w:trPr>
        <w:tc>
          <w:tcPr>
            <w:tcW w:w="1444" w:type="dxa"/>
            <w:noWrap/>
            <w:vAlign w:val="center"/>
            <w:hideMark/>
          </w:tcPr>
          <w:p w14:paraId="13628FCD" w14:textId="24E6733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2016</w:t>
            </w:r>
            <w:r w:rsidRPr="009B66A4">
              <w:rPr>
                <w:rFonts w:ascii="Calibri" w:eastAsia="Times New Roman" w:hAnsi="Calibri" w:cs="Calibri"/>
                <w:b/>
                <w:bCs/>
                <w:kern w:val="0"/>
                <w:sz w:val="20"/>
                <w:szCs w:val="20"/>
                <w14:ligatures w14:val="none"/>
              </w:rPr>
              <w:t>a</w:t>
            </w:r>
            <w:r w:rsidR="00470049" w:rsidRPr="009B66A4">
              <w:rPr>
                <w:rFonts w:ascii="Calibri" w:eastAsia="Times New Roman" w:hAnsi="Calibri" w:cs="Calibri"/>
                <w:b/>
                <w:bCs/>
                <w:kern w:val="0"/>
                <w:sz w:val="20"/>
                <w:szCs w:val="20"/>
                <w14:ligatures w14:val="none"/>
              </w:rPr>
              <w:fldChar w:fldCharType="begin"/>
            </w:r>
            <w:r w:rsidR="00E47AE3" w:rsidRPr="009B66A4">
              <w:rPr>
                <w:rFonts w:ascii="Calibri" w:eastAsia="Times New Roman" w:hAnsi="Calibri" w:cs="Calibri"/>
                <w:b/>
                <w:bCs/>
                <w:kern w:val="0"/>
                <w:sz w:val="20"/>
                <w:szCs w:val="20"/>
                <w14:ligatures w14:val="none"/>
              </w:rPr>
              <w:instrText xml:space="preserve"> ADDIN ZOTERO_ITEM CSL_CITATION {"citationID":"ZiKQruIr","properties":{"formattedCitation":"[82]","plainCitation":"[82]","noteIndex":0},"citationItems":[{"id":3441,"uris":["http://zotero.org/users/11896629/items/SJW234LZ"],"itemData":{"id":3441,"type":"article-journal","container-title":"SPINE","DOI":"10.1097/BRS.0000000000001399","ISSN":"0362-2436","issue":"10","journalAbbreviation":"SPINE","language":"en","page":"856-863","source":"DOI.org (Crossref)","title":"The Natural History of Scoliosis in Females With Rett Syndrome:","title-short":"The Natural History of Scoliosis in Females With Rett Syndrome","volume":"41","author":[{"family":"Downs","given":"Jennepher"},{"family":"Torode","given":"Ian"},{"family":"Wong","given":"Kingsley"},{"family":"Ellaway","given":"Carolyn"},{"family":"Elliott","given":"Elizabeth J."},{"family":"Christodoulou","given":"John"},{"family":"Jacoby","given":"Peter"},{"family":"Thomson","given":"Margaret R."},{"family":"Izatt","given":"Maree T."},{"family":"Askin","given":"Geoffrey N."},{"family":"McPhee","given":"Bruce I."},{"family":"Bridge","given":"Corinne"},{"family":"Cundy","given":"Peter"},{"family":"Leonard","given":"Helen"}],"issued":{"date-parts":[["2016",5]]}}}],"schema":"https://github.com/citation-style-language/schema/raw/master/csl-citation.json"} </w:instrText>
            </w:r>
            <w:r w:rsidR="00470049" w:rsidRPr="009B66A4">
              <w:rPr>
                <w:rFonts w:ascii="Calibri" w:eastAsia="Times New Roman" w:hAnsi="Calibri" w:cs="Calibri"/>
                <w:b/>
                <w:bCs/>
                <w:kern w:val="0"/>
                <w:sz w:val="20"/>
                <w:szCs w:val="20"/>
                <w14:ligatures w14:val="none"/>
              </w:rPr>
              <w:fldChar w:fldCharType="separate"/>
            </w:r>
            <w:r w:rsidR="00E47AE3" w:rsidRPr="009B66A4">
              <w:rPr>
                <w:rFonts w:ascii="Calibri" w:hAnsi="Calibri" w:cs="Calibri"/>
                <w:sz w:val="20"/>
                <w:szCs w:val="20"/>
              </w:rPr>
              <w:t>[82]</w:t>
            </w:r>
            <w:r w:rsidR="00470049" w:rsidRPr="009B66A4">
              <w:rPr>
                <w:rFonts w:ascii="Calibri" w:eastAsia="Times New Roman" w:hAnsi="Calibri" w:cs="Calibri"/>
                <w:b/>
                <w:bCs/>
                <w:kern w:val="0"/>
                <w:sz w:val="20"/>
                <w:szCs w:val="20"/>
                <w14:ligatures w14:val="none"/>
              </w:rPr>
              <w:fldChar w:fldCharType="end"/>
            </w:r>
          </w:p>
        </w:tc>
        <w:tc>
          <w:tcPr>
            <w:tcW w:w="1194" w:type="dxa"/>
            <w:noWrap/>
            <w:vAlign w:val="center"/>
            <w:hideMark/>
          </w:tcPr>
          <w:p w14:paraId="473360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1904FF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6FCA5C9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14EE2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A48942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D69271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394</w:t>
            </w:r>
          </w:p>
        </w:tc>
        <w:tc>
          <w:tcPr>
            <w:tcW w:w="1682" w:type="dxa"/>
            <w:vAlign w:val="center"/>
            <w:hideMark/>
          </w:tcPr>
          <w:p w14:paraId="660C6A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56A1A1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527768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394 (100%)</w:t>
            </w:r>
          </w:p>
        </w:tc>
        <w:tc>
          <w:tcPr>
            <w:tcW w:w="1394" w:type="dxa"/>
            <w:vAlign w:val="center"/>
            <w:hideMark/>
          </w:tcPr>
          <w:p w14:paraId="49FB69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394 (100%)</w:t>
            </w:r>
          </w:p>
        </w:tc>
        <w:tc>
          <w:tcPr>
            <w:tcW w:w="1438" w:type="dxa"/>
            <w:vAlign w:val="center"/>
            <w:hideMark/>
          </w:tcPr>
          <w:p w14:paraId="4D0240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1936BFB" w14:textId="77777777" w:rsidTr="00A3759F">
        <w:trPr>
          <w:trHeight w:val="20"/>
        </w:trPr>
        <w:tc>
          <w:tcPr>
            <w:tcW w:w="1444" w:type="dxa"/>
            <w:noWrap/>
            <w:vAlign w:val="center"/>
            <w:hideMark/>
          </w:tcPr>
          <w:p w14:paraId="2C9DA2DD" w14:textId="176F3AD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Epstein, 2016</w:t>
            </w:r>
            <w:r w:rsidR="007754B1" w:rsidRPr="009B66A4">
              <w:rPr>
                <w:rFonts w:ascii="Calibri" w:eastAsia="Times New Roman" w:hAnsi="Calibri" w:cs="Calibri"/>
                <w:kern w:val="0"/>
                <w:sz w:val="20"/>
                <w:szCs w:val="20"/>
                <w14:ligatures w14:val="none"/>
              </w:rPr>
              <w:fldChar w:fldCharType="begin"/>
            </w:r>
            <w:r w:rsidR="007754B1" w:rsidRPr="009B66A4">
              <w:rPr>
                <w:rFonts w:ascii="Calibri" w:eastAsia="Times New Roman" w:hAnsi="Calibri" w:cs="Calibri"/>
                <w:kern w:val="0"/>
                <w:sz w:val="20"/>
                <w:szCs w:val="20"/>
                <w14:ligatures w14:val="none"/>
              </w:rPr>
              <w:instrText xml:space="preserve"> ADDIN ZOTERO_ITEM CSL_CITATION {"citationID":"2yW3QqxT","properties":{"formattedCitation":"[83]","plainCitation":"[83]","noteIndex":0},"citationItems":[{"id":3307,"uris":["http://zotero.org/users/11896629/items/4DA9732H"],"itemData":{"id":3307,"type":"article-journal","abstract":"Rett syndrome is a neurodevelopmental disorder mainly affecting females and associated with a mutation on the\n                MECP2\n                gene. There has been no systematic evaluation of the domains of quality of life (QOL) in Rett syndrome. The aims of this study were to explore QOL in school‐aged children with Rett syndrome and compare domains with those identified in other available QOL scales. The sample comprised 21 families registered with the Australian Rett Syndrome Database whose daughter with Rett syndrome was aged 6–18 years. Semi‐structured telephone interviews were conducted with each parent caregiver (19 mothers, 2 fathers) to investigate aspects of their daughter's life that were satisfying or challenging to her. Qualitative thematic analysis using a grounded theory framework was conducted, and emerging domains compared with those in two generic and three disability parent‐report child QOL measures. Ten domains were identified: physical health, body pain, and discomfort, behavioral and emotional well‐being, communication skills, movement and mobility, social connectedness, variety of activities, provision of targeted services, stability of daily routines, and the natural environment. The two latter domains were newly identified and each domain contained elements not represented in the comparison measures. Our data articulated important aspects of life beyond the genetic diagnosis. Existing QOL scales for children in the general population or with other disabilities did not capture the QOL of children with Rett syndrome. Our findings support the construction of a new parent‐report measure to enable measurement of QOL in this group. © 2015 Wiley Periodicals, Inc.","container-title":"American Journal of Medical Genetics Part A","DOI":"10.1002/ajmg.a.37500","ISSN":"1552-4825, 1552-4833","issue":"3","journalAbbreviation":"American J of Med Genetics Pt A","language":"en","license":"http://onlinelibrary.wiley.com/termsAndConditions#vor","page":"645-653","source":"DOI.org (Crossref)","title":"Conceptualizing a quality of life framework for girls with Rett syndrome using qualitative methods","volume":"170","author":[{"family":"Epstein","given":"Amy"},{"family":"Leonard","given":"Helen"},{"family":"Davis","given":"Elise"},{"family":"Williams","given":"Katrina"},{"family":"Reddihough","given":"Dinah"},{"family":"Murphy","given":"Nada"},{"family":"Whitehouse","given":"Andrew"},{"family":"Downs","given":"Jenny"}],"issued":{"date-parts":[["2016",3]]}}}],"schema":"https://github.com/citation-style-language/schema/raw/master/csl-citation.json"} </w:instrText>
            </w:r>
            <w:r w:rsidR="007754B1" w:rsidRPr="009B66A4">
              <w:rPr>
                <w:rFonts w:ascii="Calibri" w:eastAsia="Times New Roman" w:hAnsi="Calibri" w:cs="Calibri"/>
                <w:kern w:val="0"/>
                <w:sz w:val="20"/>
                <w:szCs w:val="20"/>
                <w14:ligatures w14:val="none"/>
              </w:rPr>
              <w:fldChar w:fldCharType="separate"/>
            </w:r>
            <w:r w:rsidR="007754B1" w:rsidRPr="009B66A4">
              <w:rPr>
                <w:rFonts w:ascii="Calibri" w:hAnsi="Calibri" w:cs="Calibri"/>
                <w:sz w:val="20"/>
                <w:szCs w:val="20"/>
              </w:rPr>
              <w:t>[83]</w:t>
            </w:r>
            <w:r w:rsidR="007754B1"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67DCFF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139F8B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6AA629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0386405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05F55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745168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w:t>
            </w:r>
          </w:p>
        </w:tc>
        <w:tc>
          <w:tcPr>
            <w:tcW w:w="1682" w:type="dxa"/>
            <w:vAlign w:val="center"/>
            <w:hideMark/>
          </w:tcPr>
          <w:p w14:paraId="721CC8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5553B34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0710E2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 (100%)</w:t>
            </w:r>
          </w:p>
        </w:tc>
        <w:tc>
          <w:tcPr>
            <w:tcW w:w="1394" w:type="dxa"/>
            <w:vAlign w:val="center"/>
            <w:hideMark/>
          </w:tcPr>
          <w:p w14:paraId="2DCDA46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45282E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D9082DF" w14:textId="77777777" w:rsidTr="00A3759F">
        <w:trPr>
          <w:trHeight w:val="20"/>
        </w:trPr>
        <w:tc>
          <w:tcPr>
            <w:tcW w:w="1444" w:type="dxa"/>
            <w:noWrap/>
            <w:vAlign w:val="center"/>
            <w:hideMark/>
          </w:tcPr>
          <w:p w14:paraId="7FA23A72" w14:textId="65C0F2D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2016</w:t>
            </w:r>
            <w:r w:rsidRPr="009B66A4">
              <w:rPr>
                <w:rFonts w:ascii="Calibri" w:eastAsia="Times New Roman" w:hAnsi="Calibri" w:cs="Calibri"/>
                <w:b/>
                <w:bCs/>
                <w:kern w:val="0"/>
                <w:sz w:val="20"/>
                <w:szCs w:val="20"/>
                <w14:ligatures w14:val="none"/>
              </w:rPr>
              <w:t>b</w:t>
            </w:r>
            <w:r w:rsidR="007754B1" w:rsidRPr="009B66A4">
              <w:rPr>
                <w:rFonts w:ascii="Calibri" w:eastAsia="Times New Roman" w:hAnsi="Calibri" w:cs="Calibri"/>
                <w:b/>
                <w:bCs/>
                <w:kern w:val="0"/>
                <w:sz w:val="20"/>
                <w:szCs w:val="20"/>
                <w14:ligatures w14:val="none"/>
              </w:rPr>
              <w:fldChar w:fldCharType="begin"/>
            </w:r>
            <w:r w:rsidR="001C343B" w:rsidRPr="009B66A4">
              <w:rPr>
                <w:rFonts w:ascii="Calibri" w:eastAsia="Times New Roman" w:hAnsi="Calibri" w:cs="Calibri"/>
                <w:b/>
                <w:bCs/>
                <w:kern w:val="0"/>
                <w:sz w:val="20"/>
                <w:szCs w:val="20"/>
                <w14:ligatures w14:val="none"/>
              </w:rPr>
              <w:instrText xml:space="preserve"> ADDIN ZOTERO_ITEM CSL_CITATION {"citationID":"vd85OOlX","properties":{"formattedCitation":"[84]","plainCitation":"[84]","noteIndex":0},"citationItems":[{"id":3443,"uris":["http://zotero.org/users/11896629/items/V7Q4JMPJ"],"itemData":{"id":3443,"type":"article-journal","abstract":"Aim\n              Scoliosis is a common comorbidity in Rett syndrome and spinal fusion may be recommended if severe. We investigated the impact of spinal fusion on survival and risk of severe lower respiratory tract infection in Rett syndrome.\n            \n            \n              Method\n              Data were ascertained from hospital medical records, the Australian Rett Syndrome Database, a longitudinal and population‐based registry, and from the Australian Institute of Health and Welfare National Death Index database. Cox regression and generalized estimating equation models were used to estimate the effects of spinal surgery on survival and severe respiratory infection respectively in 140 females who developed severe scoliosis (Cobb angle ≥45°) before adulthood.\n            \n            \n              Results\n              \n                After adjusting for mutation type and age of scoliosis onset, the rate of death was lower in the surgery group (hazard ratio [\n                HR\n                ] 0.30, 95% confidence interval [\n                CI\n                ] 0.12–0.74;\n                p\n                =0.009) compared to those without surgery. Rate of death was particularly reduced for those with early onset scoliosis (\n                HR\n                0.17, 95%\n                CI\n                0.06–0.52;\n                p\n                =0.002). There was some evidence to suggest that spinal fusion was associated with a reduction in risk of severe respiratory infection among those with early onset scoliosis (risk ratio 0.41, 95%\n                CI\n                0.16–1.03;\n                p\n                =0.06).\n              \n            \n            \n              Interpretation\n              With appropriate cautions, spinal fusion confers an advantage to life expectancy in Rett syndrome.\n            \n          , \n            What this paper adds\n            \n              \n                \n                  Survival was better in those with severe scoliosis who had surgical compared to conservative management.\n                \n                \n                  This was more marked in those with earlier onset scoliosis where possible protective effects on respiratory health were also observed.\n                \n                \n                  Our findings provide a framework of evidence from which clinicians and families can make their individual decisions.\n                \n                \n                  Our methods demonstrate the value of well‐managed databases for the investigation of rare disorders.\n                \n              \n            \n            \n              This article is commented on by Humphreys on pages\n              538–539\n              of this issue.","container-title":"Developmental Medicine &amp; Child Neurology","DOI":"10.1111/dmcn.12984","ISSN":"0012-1622, 1469-8749","issue":"6","journalAbbreviation":"Develop Med Child Neuro","language":"en","page":"632-638","source":"DOI.org (Crossref)","title":"Surgical fusion of early onset severe scoliosis increases survival in Rett syndrome: a cohort study","title-short":"Surgical fusion of early onset severe scoliosis increases survival in Rett syndrome","volume":"58","author":[{"family":"Downs","given":"Jenny"},{"family":"Torode","given":"Ian"},{"family":"Wong","given":"Kingsley"},{"family":"Ellaway","given":"Carolyn"},{"family":"Elliott","given":"Elizabeth J"},{"family":"Izatt","given":"Maree T"},{"family":"Askin","given":"Geoffrey N"},{"family":"Mcphee","given":"Bruce I"},{"family":"Cundy","given":"Peter"},{"family":"Leonard","given":"Helen"},{"literal":"the Rett syndrome spinal fusion group"}],"issued":{"date-parts":[["2016",6]]}}}],"schema":"https://github.com/citation-style-language/schema/raw/master/csl-citation.json"} </w:instrText>
            </w:r>
            <w:r w:rsidR="007754B1" w:rsidRPr="009B66A4">
              <w:rPr>
                <w:rFonts w:ascii="Calibri" w:eastAsia="Times New Roman" w:hAnsi="Calibri" w:cs="Calibri"/>
                <w:b/>
                <w:bCs/>
                <w:kern w:val="0"/>
                <w:sz w:val="20"/>
                <w:szCs w:val="20"/>
                <w14:ligatures w14:val="none"/>
              </w:rPr>
              <w:fldChar w:fldCharType="separate"/>
            </w:r>
            <w:r w:rsidR="001C343B" w:rsidRPr="009B66A4">
              <w:rPr>
                <w:rFonts w:ascii="Calibri" w:hAnsi="Calibri" w:cs="Calibri"/>
                <w:sz w:val="20"/>
                <w:szCs w:val="20"/>
              </w:rPr>
              <w:t>[84]</w:t>
            </w:r>
            <w:r w:rsidR="007754B1" w:rsidRPr="009B66A4">
              <w:rPr>
                <w:rFonts w:ascii="Calibri" w:eastAsia="Times New Roman" w:hAnsi="Calibri" w:cs="Calibri"/>
                <w:b/>
                <w:bCs/>
                <w:kern w:val="0"/>
                <w:sz w:val="20"/>
                <w:szCs w:val="20"/>
                <w14:ligatures w14:val="none"/>
              </w:rPr>
              <w:fldChar w:fldCharType="end"/>
            </w:r>
          </w:p>
        </w:tc>
        <w:tc>
          <w:tcPr>
            <w:tcW w:w="1194" w:type="dxa"/>
            <w:noWrap/>
            <w:vAlign w:val="center"/>
            <w:hideMark/>
          </w:tcPr>
          <w:p w14:paraId="0DA925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2D0E4DF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8D20ED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D902F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F7E736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11DC4B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140</w:t>
            </w:r>
          </w:p>
        </w:tc>
        <w:tc>
          <w:tcPr>
            <w:tcW w:w="1682" w:type="dxa"/>
            <w:vAlign w:val="center"/>
            <w:hideMark/>
          </w:tcPr>
          <w:p w14:paraId="0E1108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E6D18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A6150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140 (100%)</w:t>
            </w:r>
          </w:p>
        </w:tc>
        <w:tc>
          <w:tcPr>
            <w:tcW w:w="1394" w:type="dxa"/>
            <w:noWrap/>
            <w:vAlign w:val="center"/>
            <w:hideMark/>
          </w:tcPr>
          <w:p w14:paraId="025A1E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5656087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D2A2B47" w14:textId="77777777" w:rsidTr="00A3759F">
        <w:trPr>
          <w:trHeight w:val="20"/>
        </w:trPr>
        <w:tc>
          <w:tcPr>
            <w:tcW w:w="1444" w:type="dxa"/>
            <w:noWrap/>
            <w:vAlign w:val="center"/>
            <w:hideMark/>
          </w:tcPr>
          <w:p w14:paraId="6BF97F39" w14:textId="194F3AC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Humphreys, 2016</w:t>
            </w:r>
            <w:r w:rsidR="001C343B" w:rsidRPr="009B66A4">
              <w:rPr>
                <w:rFonts w:ascii="Calibri" w:eastAsia="Times New Roman" w:hAnsi="Calibri" w:cs="Calibri"/>
                <w:kern w:val="0"/>
                <w:sz w:val="20"/>
                <w:szCs w:val="20"/>
                <w14:ligatures w14:val="none"/>
              </w:rPr>
              <w:fldChar w:fldCharType="begin"/>
            </w:r>
            <w:r w:rsidR="0045679D" w:rsidRPr="009B66A4">
              <w:rPr>
                <w:rFonts w:ascii="Calibri" w:eastAsia="Times New Roman" w:hAnsi="Calibri" w:cs="Calibri"/>
                <w:kern w:val="0"/>
                <w:sz w:val="20"/>
                <w:szCs w:val="20"/>
                <w14:ligatures w14:val="none"/>
              </w:rPr>
              <w:instrText xml:space="preserve"> ADDIN ZOTERO_ITEM CSL_CITATION {"citationID":"rywNbKYg","properties":{"formattedCitation":"[85]","plainCitation":"[85]","noteIndex":0},"citationItems":[{"id":3444,"uris":["http://zotero.org/users/11896629/items/INYZ9FJT"],"itemData":{"id":3444,"type":"article-journal","abstract":"Abstract\n            \n              \n                Background:\n              \n              Patients with Rett syndrome (RTT) may demonstrate parkinsonian features. Here, we report a preliminary cross-sectional and prospective evaluation of the evolution, regional distribution, and eventual incidence of rigid tone in a cohort of\n              MECP2\n              mutation-positive patients.\n              \n                Methods:\n              \n              In 51 participants, muscle tone rigidity in extremity regions and neck plus hypomimia were quantified using an RTT rigidity distribution (RTTRD) score with a range of 0 to 15. RTTRD scores were correlated with age, ability to walk and speak, mutation type, and, in a small subgroup (n=9), cerebrospinal fluid (CSF) homovanillic acid (HVA) and 5-hydroxyindole-acetic acid levels.\n              \n                Results:\n              \n              Participant ages ranged from 2 years and 5 months, to 54 years. Rigidity was found in 43/51 (84.3%); it appeared as early as age 3, increased in extent with age, and was present in all participants aged ≥13. Ankle region rigidity appeared first, followed by proximal legs, arms, neck, and face. Ambulatory participants (n=21) had lower RTTRD scores than nonambulatory (n=30; p=0.003). We found a trend to lower scores in participants with retained speech (n=13) versus those with none (n=38; p=0.074), and no difference in scores for those with truncating (n=25) versus missense mutations (n=22; p=0.387). RTTRD scores correlated negatively with CSF HVA levels (R=−0.83; p=0.005), but not with 5-hydroxyindole-acetic acid levels (R=−0.45; p=0.22).\n              \n                Conclusions:\n              \n              Although assessment of muscle tone is somewhat subjective and the RTTRD has not been validated, this study nevertheless suggests that parkinsonian rigidity in RTT is common and frequently increases in extent with age; its severity correlates directly with impaired ambulation and inversely with CSF HVA levels.\n            \n          , \n            RÉSUMÉ\n            \n              Étude pilote portant sur l’incidence et l’évolution de la rigidité parkinsonienne dans le cas du syndrome de Rett.\n              \n                Contexte:\n              \n              Des patients atteints du syndrome de Rett sont susceptibles de manifester des caractéristiques cliniques parkinsoniennes. Nous voulons ici rendre compte d’une évaluation préliminaire transversale et prospective de l’évolution, de la distribution régionale et de l’incidence éventuelle de la rigidité au sein d’une cohorte de patients porteurs de la mutation du gène MECP2.\n              \n                Méthodes:\n              \n              La rigidité musculaire des extrémités du corps, du cou ainsi que l’hypomimie ont été quantifiées chez 51 participants au moyen d’une distribution de la rigidité associée au syndrome de Rett, les scores variant de 0 à 15. Ces derniers ont ensuite été corrélés avec des variables telles que l’âge, la capacité de marcher et de parler, le type de mutation et, dans le cas d’un sous-groupe (n = 9), les quantités d’acide vanillique et d’acide 5-hydroxyindolacétique dans le liquide cérébro-spinal (LCS).\n              \n                Résultats:\n              \n              L’âge des participants variait de 2 ans et 5 mois à 54 ans. Des signes de rigidité ont été observés chez 43 participants sur 51, soit 84,3 %. Ils sont apparus dès l’âge de 3 ans, se sont accrus au fil des années et étaient observables chez tous les participants âgés de 13 ans et plus. Ces signes sont apparus initialement dans la région de la cheville ; ont suivi les portions proximales des jambes, les bras, le cou et le visage. Les participants ambulatoires (n = 21) ont obtenu de plus faibles scores de distribution de la rigidité associée au syndrome de Rett que les patients non-ambulatoires (n = 30; p = 0,003). Nous avons aussi observé de plus faibles scores chez les participants atteints de blocage de la parole (n = 13) par rapport à ceux n’étant pas atteints (n = 38; p = 0,074). Aucune différence dans les scores n’est apparue chez ceux dont les mutations entraînent la synthèse d’une protéine tronquée (n = 25) comparativement à ceux affectés par une mutation faux sens (n = 22; p = 0,387). De plus, les scores de distribution de la rigidité associée au syndrome de Rett ont été corrélés négativement avec des quantités d’acide vanillique dans le LCS (R = -0,83; p = 0,005), mais pas avec des quantités d’acide 5-hydroxyindolacétique (R = - 0,45; p = 0,22).\n              \n                Conclusions:\n              \n              Bien que l’évaluation de la tonicité musculaire demeure quelque peu subjective et que la distribution de la rigidité associée au syndrome de Rett n’ait pas été validée, cette étude suggère néanmoins qu’une telle rigidité est répandue et que sa sévérité augmente fréquemment avec les années. Cette sévérité est directement corrélée avec des troubles de l’ambulation et indirectement corrélée avec des quantités d’acide vanillique dans le LCS.","container-title":"Canadian Journal of Neurological Sciences / Journal Canadien des Sciences Neurologiques","DOI":"10.1017/cjn.2016.8","ISSN":"0317-1671, 2057-0155","issue":"4","journalAbbreviation":"Can. J. Neurol. Sci.","language":"en","license":"https://www.cambridge.org/core/terms","page":"567-573","source":"DOI.org (Crossref)","title":"The Incidence and Evolution of Parkinsonian Rigidity in Rett Syndrome: A Pilot Study","title-short":"The Incidence and Evolution of Parkinsonian Rigidity in Rett Syndrome","volume":"43","author":[{"family":"Humphreys","given":"Peter"},{"family":"Barrowman","given":"Nick"}],"issued":{"date-parts":[["2016",7]]}}}],"schema":"https://github.com/citation-style-language/schema/raw/master/csl-citation.json"} </w:instrText>
            </w:r>
            <w:r w:rsidR="001C343B" w:rsidRPr="009B66A4">
              <w:rPr>
                <w:rFonts w:ascii="Calibri" w:eastAsia="Times New Roman" w:hAnsi="Calibri" w:cs="Calibri"/>
                <w:kern w:val="0"/>
                <w:sz w:val="20"/>
                <w:szCs w:val="20"/>
                <w14:ligatures w14:val="none"/>
              </w:rPr>
              <w:fldChar w:fldCharType="separate"/>
            </w:r>
            <w:r w:rsidR="0045679D" w:rsidRPr="009B66A4">
              <w:rPr>
                <w:rFonts w:ascii="Calibri" w:hAnsi="Calibri" w:cs="Calibri"/>
                <w:sz w:val="20"/>
                <w:szCs w:val="20"/>
              </w:rPr>
              <w:t>[85]</w:t>
            </w:r>
            <w:r w:rsidR="001C343B"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D92A2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Canada</w:t>
            </w:r>
          </w:p>
        </w:tc>
        <w:tc>
          <w:tcPr>
            <w:tcW w:w="1316" w:type="dxa"/>
            <w:noWrap/>
            <w:vAlign w:val="center"/>
            <w:hideMark/>
          </w:tcPr>
          <w:p w14:paraId="5D66299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35576B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0B933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BF61B9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B8C23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51</w:t>
            </w:r>
          </w:p>
        </w:tc>
        <w:tc>
          <w:tcPr>
            <w:tcW w:w="1682" w:type="dxa"/>
            <w:vAlign w:val="center"/>
            <w:hideMark/>
          </w:tcPr>
          <w:p w14:paraId="4A417EC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Range: 2 years and 5 months to 54 years</w:t>
            </w:r>
          </w:p>
        </w:tc>
        <w:tc>
          <w:tcPr>
            <w:tcW w:w="1394" w:type="dxa"/>
            <w:noWrap/>
            <w:vAlign w:val="center"/>
            <w:hideMark/>
          </w:tcPr>
          <w:p w14:paraId="4DAAB8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98120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59BBB6D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51 (100%)</w:t>
            </w:r>
          </w:p>
        </w:tc>
        <w:tc>
          <w:tcPr>
            <w:tcW w:w="1438" w:type="dxa"/>
            <w:noWrap/>
            <w:vAlign w:val="center"/>
            <w:hideMark/>
          </w:tcPr>
          <w:p w14:paraId="1162FA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BF59255" w14:textId="77777777" w:rsidTr="00A3759F">
        <w:trPr>
          <w:trHeight w:val="20"/>
        </w:trPr>
        <w:tc>
          <w:tcPr>
            <w:tcW w:w="1444" w:type="dxa"/>
            <w:noWrap/>
            <w:vAlign w:val="center"/>
            <w:hideMark/>
          </w:tcPr>
          <w:p w14:paraId="75CB168F" w14:textId="4F65720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Barney, 2015</w:t>
            </w:r>
            <w:r w:rsidR="0045679D" w:rsidRPr="009B66A4">
              <w:rPr>
                <w:rFonts w:ascii="Calibri" w:eastAsia="Times New Roman" w:hAnsi="Calibri" w:cs="Calibri"/>
                <w:kern w:val="0"/>
                <w:sz w:val="20"/>
                <w:szCs w:val="20"/>
                <w14:ligatures w14:val="none"/>
              </w:rPr>
              <w:fldChar w:fldCharType="begin"/>
            </w:r>
            <w:r w:rsidR="00581A3C" w:rsidRPr="009B66A4">
              <w:rPr>
                <w:rFonts w:ascii="Calibri" w:eastAsia="Times New Roman" w:hAnsi="Calibri" w:cs="Calibri"/>
                <w:kern w:val="0"/>
                <w:sz w:val="20"/>
                <w:szCs w:val="20"/>
                <w14:ligatures w14:val="none"/>
              </w:rPr>
              <w:instrText xml:space="preserve"> ADDIN ZOTERO_ITEM CSL_CITATION {"citationID":"BM50mehs","properties":{"formattedCitation":"[86]","plainCitation":"[86]","noteIndex":0},"citationItems":[{"id":3446,"uris":["http://zotero.org/users/11896629/items/GCL26H8L"],"itemData":{"id":3446,"type":"article-journal","container-title":"Journal of Developmental and Physical Disabilities","DOI":"10.1007/s10882-015-9427-3","ISSN":"1056-263X, 1573-3580","issue":"4","journalAbbreviation":"J Dev Phys Disabil","language":"en","page":"417-429","source":"DOI.org (Crossref)","title":"Pain Experience and Expression in Rett Syndrome: Subjective and Objective Measurement Approaches","title-short":"Pain Experience and Expression in Rett Syndrome","volume":"27","author":[{"family":"Barney","given":"Chantel C."},{"family":"Feyma","given":"Timothy"},{"family":"Beisang","given":"Arthur"},{"family":"Symons","given":"Frank J."}],"issued":{"date-parts":[["2015",8]]}}}],"schema":"https://github.com/citation-style-language/schema/raw/master/csl-citation.json"} </w:instrText>
            </w:r>
            <w:r w:rsidR="0045679D" w:rsidRPr="009B66A4">
              <w:rPr>
                <w:rFonts w:ascii="Calibri" w:eastAsia="Times New Roman" w:hAnsi="Calibri" w:cs="Calibri"/>
                <w:kern w:val="0"/>
                <w:sz w:val="20"/>
                <w:szCs w:val="20"/>
                <w14:ligatures w14:val="none"/>
              </w:rPr>
              <w:fldChar w:fldCharType="separate"/>
            </w:r>
            <w:r w:rsidR="00581A3C" w:rsidRPr="009B66A4">
              <w:rPr>
                <w:rFonts w:ascii="Calibri" w:hAnsi="Calibri" w:cs="Calibri"/>
                <w:sz w:val="20"/>
                <w:szCs w:val="20"/>
              </w:rPr>
              <w:t>[86]</w:t>
            </w:r>
            <w:r w:rsidR="0045679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B2D6F0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6908210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77E6DA3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E4E21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67993D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1295E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w:t>
            </w:r>
          </w:p>
        </w:tc>
        <w:tc>
          <w:tcPr>
            <w:tcW w:w="1682" w:type="dxa"/>
            <w:noWrap/>
            <w:vAlign w:val="center"/>
            <w:hideMark/>
          </w:tcPr>
          <w:p w14:paraId="6B295A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12.8 (6.32)</w:t>
            </w:r>
          </w:p>
        </w:tc>
        <w:tc>
          <w:tcPr>
            <w:tcW w:w="1394" w:type="dxa"/>
            <w:noWrap/>
            <w:vAlign w:val="center"/>
            <w:hideMark/>
          </w:tcPr>
          <w:p w14:paraId="2C853A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E32A1D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 (100%)</w:t>
            </w:r>
          </w:p>
        </w:tc>
        <w:tc>
          <w:tcPr>
            <w:tcW w:w="1394" w:type="dxa"/>
            <w:noWrap/>
            <w:vAlign w:val="center"/>
            <w:hideMark/>
          </w:tcPr>
          <w:p w14:paraId="477785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4F521B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B248C3B" w14:textId="77777777" w:rsidTr="00A3759F">
        <w:trPr>
          <w:trHeight w:val="20"/>
        </w:trPr>
        <w:tc>
          <w:tcPr>
            <w:tcW w:w="1444" w:type="dxa"/>
            <w:noWrap/>
            <w:vAlign w:val="center"/>
            <w:hideMark/>
          </w:tcPr>
          <w:p w14:paraId="36FB8D63" w14:textId="069D4BB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Ammanuel, 2015</w:t>
            </w:r>
            <w:r w:rsidR="00581A3C" w:rsidRPr="009B66A4">
              <w:rPr>
                <w:rFonts w:ascii="Calibri" w:eastAsia="Times New Roman" w:hAnsi="Calibri" w:cs="Calibri"/>
                <w:kern w:val="0"/>
                <w:sz w:val="20"/>
                <w:szCs w:val="20"/>
                <w14:ligatures w14:val="none"/>
              </w:rPr>
              <w:fldChar w:fldCharType="begin"/>
            </w:r>
            <w:r w:rsidR="00581A3C" w:rsidRPr="009B66A4">
              <w:rPr>
                <w:rFonts w:ascii="Calibri" w:eastAsia="Times New Roman" w:hAnsi="Calibri" w:cs="Calibri"/>
                <w:kern w:val="0"/>
                <w:sz w:val="20"/>
                <w:szCs w:val="20"/>
                <w14:ligatures w14:val="none"/>
              </w:rPr>
              <w:instrText xml:space="preserve"> ADDIN ZOTERO_ITEM CSL_CITATION {"citationID":"rmXJnePh","properties":{"formattedCitation":"[87]","plainCitation":"[87]","noteIndex":0},"citationItems":[{"id":2909,"uris":["http://zotero.org/users/11896629/items/L7PZS99Q"],"itemData":{"id":2909,"type":"article-journal","container-title":"PLOS ONE","DOI":"10.1371/journal.pone.0138113","ISSN":"1932-6203","issue":"10","journalAbbreviation":"PLoS ONE","language":"en","page":"e0138113","source":"DOI.org (Crossref)","title":"Heightened Delta Power during Slow-Wave-Sleep in Patients with Rett Syndrome Associated with Poor Sleep Efficiency","volume":"10","author":[{"family":"Ammanuel","given":"Simon"},{"family":"Chan","given":"Wesley C."},{"family":"Adler","given":"Daniel A."},{"family":"Lakshamanan","given":"Balaji M."},{"family":"Gupta","given":"Siddharth S."},{"family":"Ewen","given":"Joshua B."},{"family":"Johnston","given":"Michael V."},{"family":"Marcus","given":"Carole L."},{"family":"Naidu","given":"Sakkubai"},{"family":"Kadam","given":"Shilpa D."}],"editor":[{"family":"Ferri","given":"Raffaele"}],"issued":{"date-parts":[["2015",10,7]]}}}],"schema":"https://github.com/citation-style-language/schema/raw/master/csl-citation.json"} </w:instrText>
            </w:r>
            <w:r w:rsidR="00581A3C" w:rsidRPr="009B66A4">
              <w:rPr>
                <w:rFonts w:ascii="Calibri" w:eastAsia="Times New Roman" w:hAnsi="Calibri" w:cs="Calibri"/>
                <w:kern w:val="0"/>
                <w:sz w:val="20"/>
                <w:szCs w:val="20"/>
                <w14:ligatures w14:val="none"/>
              </w:rPr>
              <w:fldChar w:fldCharType="separate"/>
            </w:r>
            <w:r w:rsidR="00581A3C" w:rsidRPr="009B66A4">
              <w:rPr>
                <w:rFonts w:ascii="Calibri" w:hAnsi="Calibri" w:cs="Calibri"/>
                <w:sz w:val="20"/>
                <w:szCs w:val="20"/>
              </w:rPr>
              <w:t>[87]</w:t>
            </w:r>
            <w:r w:rsidR="00581A3C" w:rsidRPr="009B66A4">
              <w:rPr>
                <w:rFonts w:ascii="Calibri" w:eastAsia="Times New Roman" w:hAnsi="Calibri" w:cs="Calibri"/>
                <w:kern w:val="0"/>
                <w:sz w:val="20"/>
                <w:szCs w:val="20"/>
                <w14:ligatures w14:val="none"/>
              </w:rPr>
              <w:fldChar w:fldCharType="end"/>
            </w:r>
          </w:p>
        </w:tc>
        <w:tc>
          <w:tcPr>
            <w:tcW w:w="1194" w:type="dxa"/>
            <w:vAlign w:val="center"/>
            <w:hideMark/>
          </w:tcPr>
          <w:p w14:paraId="6B6BE5E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Align w:val="center"/>
            <w:hideMark/>
          </w:tcPr>
          <w:p w14:paraId="255EDD8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43664AF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6565F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A9DDB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14F5E29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w:t>
            </w:r>
          </w:p>
        </w:tc>
        <w:tc>
          <w:tcPr>
            <w:tcW w:w="1682" w:type="dxa"/>
            <w:vAlign w:val="center"/>
            <w:hideMark/>
          </w:tcPr>
          <w:p w14:paraId="3801B5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6.16 (0.7)</w:t>
            </w:r>
          </w:p>
        </w:tc>
        <w:tc>
          <w:tcPr>
            <w:tcW w:w="1394" w:type="dxa"/>
            <w:vAlign w:val="center"/>
            <w:hideMark/>
          </w:tcPr>
          <w:p w14:paraId="34A4C3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2FE1BC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394" w:type="dxa"/>
            <w:vAlign w:val="center"/>
            <w:hideMark/>
          </w:tcPr>
          <w:p w14:paraId="01F6D7A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(100%)</w:t>
            </w:r>
          </w:p>
        </w:tc>
        <w:tc>
          <w:tcPr>
            <w:tcW w:w="1438" w:type="dxa"/>
            <w:vAlign w:val="center"/>
            <w:hideMark/>
          </w:tcPr>
          <w:p w14:paraId="75BBA7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range: 5-14</w:t>
            </w:r>
          </w:p>
        </w:tc>
      </w:tr>
      <w:tr w:rsidR="00713B5E" w:rsidRPr="009B66A4" w14:paraId="788F1E9F" w14:textId="77777777" w:rsidTr="00A3759F">
        <w:trPr>
          <w:trHeight w:val="20"/>
        </w:trPr>
        <w:tc>
          <w:tcPr>
            <w:tcW w:w="1444" w:type="dxa"/>
            <w:noWrap/>
            <w:vAlign w:val="center"/>
            <w:hideMark/>
          </w:tcPr>
          <w:p w14:paraId="0424790C" w14:textId="540D0E0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Megahed, 2015</w:t>
            </w:r>
            <w:r w:rsidR="00581A3C" w:rsidRPr="009B66A4">
              <w:rPr>
                <w:rFonts w:ascii="Calibri" w:eastAsia="Times New Roman" w:hAnsi="Calibri" w:cs="Calibri"/>
                <w:kern w:val="0"/>
                <w:sz w:val="20"/>
                <w:szCs w:val="20"/>
                <w14:ligatures w14:val="none"/>
              </w:rPr>
              <w:fldChar w:fldCharType="begin"/>
            </w:r>
            <w:r w:rsidR="00BC0D27" w:rsidRPr="009B66A4">
              <w:rPr>
                <w:rFonts w:ascii="Calibri" w:eastAsia="Times New Roman" w:hAnsi="Calibri" w:cs="Calibri"/>
                <w:kern w:val="0"/>
                <w:sz w:val="20"/>
                <w:szCs w:val="20"/>
                <w14:ligatures w14:val="none"/>
              </w:rPr>
              <w:instrText xml:space="preserve"> ADDIN ZOTERO_ITEM CSL_CITATION {"citationID":"2htLahrm","properties":{"formattedCitation":"[88]","plainCitation":"[88]","noteIndex":0},"citationItems":[{"id":3447,"uris":["http://zotero.org/users/11896629/items/UM3BF59Y"],"itemData":{"id":3447,"type":"article-journal","container-title":"Egyptian Pediatric Association Gazette","DOI":"10.1016/j.epag.2015.02.001","ISSN":"11106638","issue":"1","journalAbbreviation":"Egyptian Pediatric Association Gazette","language":"en","page":"25-31","source":"DOI.org (Crossref)","title":"Correlation between clinical features and MECP2 gene mutations in patients with Rett syndrome","volume":"63","author":[{"family":"Megahed","given":"Hisham"},{"family":"Hindawy","given":"Amina"},{"family":"Mohamady","given":"Mohamed"}],"issued":{"date-parts":[["2015",3]]}}}],"schema":"https://github.com/citation-style-language/schema/raw/master/csl-citation.json"} </w:instrText>
            </w:r>
            <w:r w:rsidR="00581A3C" w:rsidRPr="009B66A4">
              <w:rPr>
                <w:rFonts w:ascii="Calibri" w:eastAsia="Times New Roman" w:hAnsi="Calibri" w:cs="Calibri"/>
                <w:kern w:val="0"/>
                <w:sz w:val="20"/>
                <w:szCs w:val="20"/>
                <w14:ligatures w14:val="none"/>
              </w:rPr>
              <w:fldChar w:fldCharType="separate"/>
            </w:r>
            <w:r w:rsidR="00BC0D27" w:rsidRPr="009B66A4">
              <w:rPr>
                <w:rFonts w:ascii="Calibri" w:hAnsi="Calibri" w:cs="Calibri"/>
                <w:sz w:val="20"/>
                <w:szCs w:val="20"/>
              </w:rPr>
              <w:t>[88]</w:t>
            </w:r>
            <w:r w:rsidR="00581A3C" w:rsidRPr="009B66A4">
              <w:rPr>
                <w:rFonts w:ascii="Calibri" w:eastAsia="Times New Roman" w:hAnsi="Calibri" w:cs="Calibri"/>
                <w:kern w:val="0"/>
                <w:sz w:val="20"/>
                <w:szCs w:val="20"/>
                <w14:ligatures w14:val="none"/>
              </w:rPr>
              <w:fldChar w:fldCharType="end"/>
            </w:r>
          </w:p>
        </w:tc>
        <w:tc>
          <w:tcPr>
            <w:tcW w:w="1194" w:type="dxa"/>
            <w:vAlign w:val="center"/>
            <w:hideMark/>
          </w:tcPr>
          <w:p w14:paraId="06446B0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Egypt</w:t>
            </w:r>
          </w:p>
        </w:tc>
        <w:tc>
          <w:tcPr>
            <w:tcW w:w="1316" w:type="dxa"/>
            <w:vAlign w:val="center"/>
            <w:hideMark/>
          </w:tcPr>
          <w:p w14:paraId="09CA785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3778173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51FA9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AAB961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23A90A6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w:t>
            </w:r>
          </w:p>
        </w:tc>
        <w:tc>
          <w:tcPr>
            <w:tcW w:w="1682" w:type="dxa"/>
            <w:vAlign w:val="center"/>
            <w:hideMark/>
          </w:tcPr>
          <w:p w14:paraId="26FFFC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36.9 months</w:t>
            </w:r>
          </w:p>
        </w:tc>
        <w:tc>
          <w:tcPr>
            <w:tcW w:w="1394" w:type="dxa"/>
            <w:vAlign w:val="center"/>
            <w:hideMark/>
          </w:tcPr>
          <w:p w14:paraId="45992F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20CFA16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 (100%)</w:t>
            </w:r>
          </w:p>
        </w:tc>
        <w:tc>
          <w:tcPr>
            <w:tcW w:w="1394" w:type="dxa"/>
            <w:vAlign w:val="center"/>
            <w:hideMark/>
          </w:tcPr>
          <w:p w14:paraId="586F1F1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(62.5%)</w:t>
            </w:r>
          </w:p>
        </w:tc>
        <w:tc>
          <w:tcPr>
            <w:tcW w:w="1438" w:type="dxa"/>
            <w:noWrap/>
            <w:vAlign w:val="center"/>
            <w:hideMark/>
          </w:tcPr>
          <w:p w14:paraId="3A08A42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FAC919A" w14:textId="77777777" w:rsidTr="00A3759F">
        <w:trPr>
          <w:trHeight w:val="20"/>
        </w:trPr>
        <w:tc>
          <w:tcPr>
            <w:tcW w:w="1444" w:type="dxa"/>
            <w:noWrap/>
            <w:vAlign w:val="center"/>
            <w:hideMark/>
          </w:tcPr>
          <w:p w14:paraId="2596B685" w14:textId="4EA41DA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Nissenkorn, 2015</w:t>
            </w:r>
            <w:r w:rsidR="00BC0D27" w:rsidRPr="009B66A4">
              <w:rPr>
                <w:rFonts w:ascii="Calibri" w:eastAsia="Times New Roman" w:hAnsi="Calibri" w:cs="Calibri"/>
                <w:kern w:val="0"/>
                <w:sz w:val="20"/>
                <w:szCs w:val="20"/>
                <w14:ligatures w14:val="none"/>
              </w:rPr>
              <w:fldChar w:fldCharType="begin"/>
            </w:r>
            <w:r w:rsidR="006B3B88" w:rsidRPr="009B66A4">
              <w:rPr>
                <w:rFonts w:ascii="Calibri" w:eastAsia="Times New Roman" w:hAnsi="Calibri" w:cs="Calibri"/>
                <w:kern w:val="0"/>
                <w:sz w:val="20"/>
                <w:szCs w:val="20"/>
                <w14:ligatures w14:val="none"/>
              </w:rPr>
              <w:instrText xml:space="preserve"> ADDIN ZOTERO_ITEM CSL_CITATION {"citationID":"m5xYe5qC","properties":{"formattedCitation":"[89]","plainCitation":"[89]","noteIndex":0},"citationItems":[{"id":3448,"uris":["http://zotero.org/users/11896629/items/4YGWAA5H"],"itemData":{"id":3448,"type":"article-journal","abstract":"Summary\n            \n              Objective\n              \n                Rett syndrome is an X‐linked dominant neurodevelopmental disorder caused by mutations in the\n                \n                  MECP\n                  2\n                \n                gene, and characterized by cognitive and communicative regression, loss of hand use, and midline hand stereotypies. Epilepsy is a core symptom, but literature is controversial regarding genotype–phenotype correlation. Analysis of data from a large cohort should overcome this shortcoming.\n              \n            \n            \n              Methods\n              \n                Data from the Rett Syndrome Networked Database on 1,248 female patients were included. Data on phenotypic and genotypic parameters, age of onset, severity of epilepsy, and type of seizures were collected. Statistical analysis was done using the\n                IBM SPSS\n                Version 21 software, logistic regression, and Kaplan‐Meier survival curves.\n              \n            \n            \n              Results\n              \n                Epilepsy was present in 68.1% of the patients, with uncontrolled seizures in 32.6% of the patients with epilepsy. Mean age of onset of epilepsy was 4.68 ± (standard deviation) 3.5 years. Younger age of onset was correlated to severity of epilepsy (Spearman correlation r = 0.668, p &lt; 0.01). Patients with late truncating deletions had lower prevalence of epilepsy. Compared to them, the p.\n                R133C\n                mutation, associated with a milder Rett phenotype, increased the risk for epilepsy (odds ratio [\n                OR\n                ] 2.46, confidence interval [\n                CI\n                ] 95% 1.3–4.66), but not for severe epilepsy. The\n                p.R255X\n                mutation conferred an increased risk for epilepsy (\n                OR\n                 2.07,\n                CI\n                95% 1.2–3.59) as well as for severe epilepsy (\n                OR\n                3.4,\n                CI\n                95% 1.6–7.3). The\n                p.T158M\n                and\n                p.C306C\n                mutations relatively increased the risk for severe epilepsy (\n                OR\n                 3.09 and 2.69,\n                CI\n                95% 1.48–6.4 and 1.19–6.05, respectively), but not for epilepsy occurrence.\n              \n            \n            \n              Significance\n              \n                Various mutations in the\n                \n                  MECP\n                  2\n                \n                gene have a different influence on epilepsy, unrelated to the severity of the general Rett phenotype. This might suggest a site‐specific effect of MeCp2 on epileptic pathways. Further investigation of these mechanisms should promote better understanding of epileptogenesis in Rett syndrome.","container-title":"Epilepsia","DOI":"10.1111/epi.12941","ISSN":"0013-9580, 1528-1167","issue":"4","journalAbbreviation":"Epilepsia","language":"en","license":"http://onlinelibrary.wiley.com/termsAndConditions#vor","page":"569-576","source":"DOI.org (Crossref)","title":"Epilepsy in Rett syndrome—Lessons from the Rett networked database","volume":"56","author":[{"family":"Nissenkorn","given":"Andreea"},{"family":"Levy‐Drummer","given":"Rachel S."},{"family":"Bondi","given":"Ori"},{"family":"Renieri","given":"Alessandra"},{"family":"Villard","given":"Laurent"},{"family":"Mari","given":"Francesca"},{"family":"Mencarelli","given":"Maria A."},{"family":"Lo Rizzo","given":"Caterina"},{"family":"Meloni","given":"Ilaria"},{"family":"Pineda","given":"Mercedes"},{"family":"Armstrong","given":"Judith"},{"family":"Clarke","given":"Angus"},{"family":"Bahi‐Buisson","given":"Nadia"},{"family":"Mejaski","given":"Bosnjak Vlatka"},{"family":"Djuric","given":"Milena"},{"family":"Craiu","given":"Dana"},{"family":"Djukic","given":"Alexsandra"},{"family":"Pini","given":"Giorgio"},{"family":"Bisgaard","given":"Anne Marie"},{"family":"Melegh","given":"Bela"},{"family":"Vignoli","given":"Aglaia"},{"family":"Russo","given":"Silvia"},{"family":"Anghelescu","given":"Cristina"},{"family":"Veneselli","given":"Edvige"},{"family":"Hayek","given":"Joussef"},{"family":"Ben‐Zeev","given":"Bruria"}],"issued":{"date-parts":[["2015",4]]}}}],"schema":"https://github.com/citation-style-language/schema/raw/master/csl-citation.json"} </w:instrText>
            </w:r>
            <w:r w:rsidR="00BC0D27" w:rsidRPr="009B66A4">
              <w:rPr>
                <w:rFonts w:ascii="Calibri" w:eastAsia="Times New Roman" w:hAnsi="Calibri" w:cs="Calibri"/>
                <w:kern w:val="0"/>
                <w:sz w:val="20"/>
                <w:szCs w:val="20"/>
                <w14:ligatures w14:val="none"/>
              </w:rPr>
              <w:fldChar w:fldCharType="separate"/>
            </w:r>
            <w:r w:rsidR="006B3B88" w:rsidRPr="009B66A4">
              <w:rPr>
                <w:rFonts w:ascii="Calibri" w:hAnsi="Calibri" w:cs="Calibri"/>
                <w:sz w:val="20"/>
                <w:szCs w:val="20"/>
              </w:rPr>
              <w:t>[89]</w:t>
            </w:r>
            <w:r w:rsidR="00BC0D27" w:rsidRPr="009B66A4">
              <w:rPr>
                <w:rFonts w:ascii="Calibri" w:eastAsia="Times New Roman" w:hAnsi="Calibri" w:cs="Calibri"/>
                <w:kern w:val="0"/>
                <w:sz w:val="20"/>
                <w:szCs w:val="20"/>
                <w14:ligatures w14:val="none"/>
              </w:rPr>
              <w:fldChar w:fldCharType="end"/>
            </w:r>
          </w:p>
        </w:tc>
        <w:tc>
          <w:tcPr>
            <w:tcW w:w="1194" w:type="dxa"/>
            <w:vAlign w:val="center"/>
            <w:hideMark/>
          </w:tcPr>
          <w:p w14:paraId="21E4D06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Multiple (11 countries, names NR)</w:t>
            </w:r>
          </w:p>
        </w:tc>
        <w:tc>
          <w:tcPr>
            <w:tcW w:w="1316" w:type="dxa"/>
            <w:vAlign w:val="center"/>
            <w:hideMark/>
          </w:tcPr>
          <w:p w14:paraId="621CC3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048CD5F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9FA1F9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B9A54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6AA29D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1248</w:t>
            </w:r>
          </w:p>
        </w:tc>
        <w:tc>
          <w:tcPr>
            <w:tcW w:w="1682" w:type="dxa"/>
            <w:noWrap/>
            <w:vAlign w:val="center"/>
            <w:hideMark/>
          </w:tcPr>
          <w:p w14:paraId="7B74555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8FB82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3DCF2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6E4A94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1135 (90.1%)</w:t>
            </w:r>
          </w:p>
        </w:tc>
        <w:tc>
          <w:tcPr>
            <w:tcW w:w="1438" w:type="dxa"/>
            <w:noWrap/>
            <w:vAlign w:val="center"/>
            <w:hideMark/>
          </w:tcPr>
          <w:p w14:paraId="3E1FA9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33BE530" w14:textId="77777777" w:rsidTr="00A3759F">
        <w:trPr>
          <w:trHeight w:val="20"/>
        </w:trPr>
        <w:tc>
          <w:tcPr>
            <w:tcW w:w="1444" w:type="dxa"/>
            <w:noWrap/>
            <w:vAlign w:val="center"/>
            <w:hideMark/>
          </w:tcPr>
          <w:p w14:paraId="7A5AB83A" w14:textId="4AE75FB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Stagi, 2015</w:t>
            </w:r>
            <w:r w:rsidR="006B3B88" w:rsidRPr="009B66A4">
              <w:rPr>
                <w:rFonts w:ascii="Calibri" w:eastAsia="Times New Roman" w:hAnsi="Calibri" w:cs="Calibri"/>
                <w:kern w:val="0"/>
                <w:sz w:val="20"/>
                <w:szCs w:val="20"/>
                <w14:ligatures w14:val="none"/>
              </w:rPr>
              <w:fldChar w:fldCharType="begin"/>
            </w:r>
            <w:r w:rsidR="006B3B88" w:rsidRPr="009B66A4">
              <w:rPr>
                <w:rFonts w:ascii="Calibri" w:eastAsia="Times New Roman" w:hAnsi="Calibri" w:cs="Calibri"/>
                <w:kern w:val="0"/>
                <w:sz w:val="20"/>
                <w:szCs w:val="20"/>
                <w14:ligatures w14:val="none"/>
              </w:rPr>
              <w:instrText xml:space="preserve"> ADDIN ZOTERO_ITEM CSL_CITATION {"citationID":"oSHtY3ql","properties":{"formattedCitation":"[90]","plainCitation":"[90]","noteIndex":0},"citationItems":[{"id":2896,"uris":["http://zotero.org/users/11896629/items/JRVNAUKN"],"itemData":{"id":2896,"type":"article-journal","abstract":"&lt;b&gt;&lt;i&gt;Introduction:&lt;/i&gt;&lt;/b&gt; Thyroid function in Rett syndrome (RTT) has rarely been studied with unanimous results. However, this aspect is of great concern regarding the effect thyroid hormones (TH) have on proper mammalian brain development. &lt;b&gt;&lt;i&gt;Objective:&lt;/i&gt;&lt;/b&gt; To evaluate the prevalence of abnormalities of thyroid function in a cohort of children with RTT. &lt;b&gt;&lt;i&gt;Patients and Methods:&lt;/i&gt;&lt;/b&gt; Forty-five consecutive Caucasian girls (mean age: 8.6 ± 5.3 years, range: 2.0-26.1) meeting the clinical criteria for RTT were recruited. In all of the subjects, we evaluated the serum concentrations of free-T&lt;sub&gt;3&lt;/sub&gt; (FT&lt;sub&gt;3&lt;/sub&gt;), free-T&lt;sub&gt;4&lt;/sub&gt; (FT&lt;sub&gt;4&lt;/sub&gt;), thyroid-stimulating hormone (TSH), thyroperoxidase autoantibodies, thyroglobulin autoantibodies (TgA), and TSH receptor (TSHr) autoantibodies. The results were compared with a group of 146 age-matched healthy Caucasian children and adolescent girls (median age: 9.5 years, range: 1.8-14.6) from the same geographical area. &lt;b&gt;&lt;i&gt;Results:&lt;/i&gt;&lt;/b&gt; Mean FT&lt;sub&gt;3&lt;/sub&gt; and TSH levels were not significantly different between the RTT patients and controls. Nevertheless, FT&lt;sub&gt;4&lt;/sub&gt; levels were significantly higher in RTT patients than in controls (p &lt; 0.005). In particular, 17.7% showed FT&lt;sub&gt;4&lt;/sub&gt; levels higher than the upper reference limit (vs. 0.7% of controls, p &lt; 0.0001), whereas 12 patients (26.7%) showed higher FT&lt;sub&gt;3&lt;/sub&gt; levels than the upper reference limit, significantly differing in respect to controls (2.0%, p &lt; 0.0001). Finally, 5 patients (11.1%) showed higher levels of TSH, statistically differing from the control subjects (2.0%, p &lt; 0.0001). However, evaluating the patients on the basis of different RTT genotype subgroups, patients with &lt;i&gt;CDKL5&lt;/i&gt; deletions showed significantly higher FT&lt;sub&gt;4&lt;/sub&gt; values than patients with &lt;i&gt;MeCP2&lt;/i&gt; deletions (p &lt; 0.05). On the other hand, patients with other types of &lt;i&gt;MeCP2 &lt;/i&gt;mutations also showed FT&lt;sub&gt;4&lt;/sub&gt; levels significantly higher than patients with &lt;i&gt;MeCP2 &lt;/i&gt;deletions (p &lt; 0.05). In fact, out of 8 patients with FT&lt;sub&gt;4&lt;/sub&gt; levels higher than the upper references limit, 3 of them presented with &lt;i&gt;CDKL5&lt;/i&gt; deletions (3 patients, 37.5%), 4 (50%) had &lt;i&gt;MeCP2&lt;/i&gt; mutations, and 1 (12.5%) belonged to the subgroup of &lt;i&gt;MeCP2&lt;/i&gt; deletions. However, when analyzing FT&lt;sub&gt;3&lt;/sub&gt; levels of the 12 patients showing higher FT&lt;sub&gt;3&lt;/sub&gt; levels than the upper references limit, 6 (50%) belonged to the subgroup with &lt;i&gt;MeCP2 &lt;/i&gt;mutations, 4 (33.3%) to the subgroup with &lt;i&gt;MeCP2 &lt;/i&gt;deletions, and 2 (16.7%) to the subgroups with &lt;i&gt;CDKL5&lt;/i&gt; deletions. Furthermore, no patient with RTT was positive for antithyroglobulin autoantibodies, antithyroid peroxidase, or anti-TSHr, with no statistical differences in respect to the controls. &lt;smlcap&gt;L&lt;/smlcap&gt;-thyroxine treatment was not necessary for any patient. &lt;b&gt;&lt;i&gt;Conclusions:&lt;/i&gt;&lt;/b&gt; Abnormalities of thyroid function are not rare in RTT. The possible relationship between these disorders and the RTT phenotype should be confirmed and studied. Children with RTT should be screened for potential thyroid dysfunction.","container-title":"Hormone Research in Paediatrics","DOI":"10.1159/000370066","ISSN":"1663-2818, 1663-2826","issue":"2","journalAbbreviation":"Horm Res Paediatr","language":"en","license":"https://www.karger.com/Services/SiteLicenses","page":"118-125","source":"DOI.org (Crossref)","title":"Thyroid Function in Rett Syndrome","volume":"83","author":[{"family":"Stagi","given":"Stefano"},{"family":"Cavalli","given":"Loredana"},{"family":"Congiu","given":"Laura"},{"family":"Scusa","given":"Maria Flora"},{"family":"Ferlini","given":"Alessandra"},{"family":"Bigoni","given":"Stefania"},{"family":"Benincasa","given":"Alberto"},{"family":"Rossi","given":"Bruno"},{"family":"Pini","given":"Giorgio"}],"issued":{"date-parts":[["2015"]]}}}],"schema":"https://github.com/citation-style-language/schema/raw/master/csl-citation.json"} </w:instrText>
            </w:r>
            <w:r w:rsidR="006B3B88" w:rsidRPr="009B66A4">
              <w:rPr>
                <w:rFonts w:ascii="Calibri" w:eastAsia="Times New Roman" w:hAnsi="Calibri" w:cs="Calibri"/>
                <w:kern w:val="0"/>
                <w:sz w:val="20"/>
                <w:szCs w:val="20"/>
                <w14:ligatures w14:val="none"/>
              </w:rPr>
              <w:fldChar w:fldCharType="separate"/>
            </w:r>
            <w:r w:rsidR="006B3B88" w:rsidRPr="009B66A4">
              <w:rPr>
                <w:rFonts w:ascii="Calibri" w:hAnsi="Calibri" w:cs="Calibri"/>
                <w:sz w:val="20"/>
                <w:szCs w:val="20"/>
              </w:rPr>
              <w:t>[90]</w:t>
            </w:r>
            <w:r w:rsidR="006B3B88"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55A8F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7E4E08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12B4491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96495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2D5A3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8E51D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45</w:t>
            </w:r>
          </w:p>
        </w:tc>
        <w:tc>
          <w:tcPr>
            <w:tcW w:w="1682" w:type="dxa"/>
            <w:vAlign w:val="center"/>
            <w:hideMark/>
          </w:tcPr>
          <w:p w14:paraId="78B240F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8.6 (5.3)</w:t>
            </w:r>
          </w:p>
        </w:tc>
        <w:tc>
          <w:tcPr>
            <w:tcW w:w="1394" w:type="dxa"/>
            <w:vAlign w:val="center"/>
            <w:hideMark/>
          </w:tcPr>
          <w:p w14:paraId="6973EA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1EEF5A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45 (100%)</w:t>
            </w:r>
          </w:p>
        </w:tc>
        <w:tc>
          <w:tcPr>
            <w:tcW w:w="1394" w:type="dxa"/>
            <w:vAlign w:val="center"/>
            <w:hideMark/>
          </w:tcPr>
          <w:p w14:paraId="5F6E7BA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39 (86.67%)</w:t>
            </w:r>
          </w:p>
        </w:tc>
        <w:tc>
          <w:tcPr>
            <w:tcW w:w="1438" w:type="dxa"/>
            <w:vAlign w:val="center"/>
            <w:hideMark/>
          </w:tcPr>
          <w:p w14:paraId="2C8B334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4C69C7D" w14:textId="77777777" w:rsidTr="00A3759F">
        <w:trPr>
          <w:trHeight w:val="20"/>
        </w:trPr>
        <w:tc>
          <w:tcPr>
            <w:tcW w:w="1444" w:type="dxa"/>
            <w:vMerge w:val="restart"/>
            <w:noWrap/>
            <w:vAlign w:val="center"/>
            <w:hideMark/>
          </w:tcPr>
          <w:p w14:paraId="5BD468EF" w14:textId="3B382A6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Bisgaard, 2015</w:t>
            </w:r>
            <w:r w:rsidR="006B3B88" w:rsidRPr="009B66A4">
              <w:rPr>
                <w:rFonts w:ascii="Calibri" w:eastAsia="Times New Roman" w:hAnsi="Calibri" w:cs="Calibri"/>
                <w:kern w:val="0"/>
                <w:sz w:val="20"/>
                <w:szCs w:val="20"/>
                <w14:ligatures w14:val="none"/>
              </w:rPr>
              <w:fldChar w:fldCharType="begin"/>
            </w:r>
            <w:r w:rsidR="007C46F1" w:rsidRPr="009B66A4">
              <w:rPr>
                <w:rFonts w:ascii="Calibri" w:eastAsia="Times New Roman" w:hAnsi="Calibri" w:cs="Calibri"/>
                <w:kern w:val="0"/>
                <w:sz w:val="20"/>
                <w:szCs w:val="20"/>
                <w14:ligatures w14:val="none"/>
              </w:rPr>
              <w:instrText xml:space="preserve"> ADDIN ZOTERO_ITEM CSL_CITATION {"citationID":"GWuQe5Ei","properties":{"formattedCitation":"[91]","plainCitation":"[91]","noteIndex":0},"citationItems":[{"id":3450,"uris":["http://zotero.org/users/11896629/items/MCFQPGB9"],"itemData":{"id":3450,"type":"article-journal","container-title":"European Journal of Paediatric Neurology","DOI":"10.1016/j.ejpn.2015.07.004","ISSN":"10903798","issue":"6","journalAbbreviation":"European Journal of Paediatric Neurology","language":"en","page":"679-687","source":"DOI.org (Crossref)","title":"Is it possible to diagnose Rett syndrome before classical symptoms become obvious? Review of 24 Danish cases born between 2003 and 2012","title-short":"Is it possible to diagnose Rett syndrome before classical symptoms become obvious?","volume":"19","author":[{"family":"Bisgaard","given":"Anne-Marie"},{"family":"Schönewolf-Greulich","given":"Bitten"},{"family":"Ravn","given":"Kirstine"},{"family":"Rønde","given":"Gitte"}],"issued":{"date-parts":[["2015",11]]}}}],"schema":"https://github.com/citation-style-language/schema/raw/master/csl-citation.json"} </w:instrText>
            </w:r>
            <w:r w:rsidR="006B3B88" w:rsidRPr="009B66A4">
              <w:rPr>
                <w:rFonts w:ascii="Calibri" w:eastAsia="Times New Roman" w:hAnsi="Calibri" w:cs="Calibri"/>
                <w:kern w:val="0"/>
                <w:sz w:val="20"/>
                <w:szCs w:val="20"/>
                <w14:ligatures w14:val="none"/>
              </w:rPr>
              <w:fldChar w:fldCharType="separate"/>
            </w:r>
            <w:r w:rsidR="007C46F1" w:rsidRPr="009B66A4">
              <w:rPr>
                <w:rFonts w:ascii="Calibri" w:hAnsi="Calibri" w:cs="Calibri"/>
                <w:sz w:val="20"/>
                <w:szCs w:val="20"/>
              </w:rPr>
              <w:t>[91]</w:t>
            </w:r>
            <w:r w:rsidR="006B3B88"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7ECA74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Denmark</w:t>
            </w:r>
          </w:p>
        </w:tc>
        <w:tc>
          <w:tcPr>
            <w:tcW w:w="1316" w:type="dxa"/>
            <w:vMerge w:val="restart"/>
            <w:noWrap/>
            <w:vAlign w:val="center"/>
            <w:hideMark/>
          </w:tcPr>
          <w:p w14:paraId="37E2B2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0EE003E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43018D8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2D9F56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54B7DA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w:t>
            </w:r>
          </w:p>
        </w:tc>
        <w:tc>
          <w:tcPr>
            <w:tcW w:w="1682" w:type="dxa"/>
            <w:vMerge w:val="restart"/>
            <w:vAlign w:val="center"/>
            <w:hideMark/>
          </w:tcPr>
          <w:p w14:paraId="2C480D4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30.25 months</w:t>
            </w:r>
          </w:p>
        </w:tc>
        <w:tc>
          <w:tcPr>
            <w:tcW w:w="1394" w:type="dxa"/>
            <w:vMerge w:val="restart"/>
            <w:vAlign w:val="center"/>
            <w:hideMark/>
          </w:tcPr>
          <w:p w14:paraId="6332C7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2E155CC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 (100%)</w:t>
            </w:r>
          </w:p>
        </w:tc>
        <w:tc>
          <w:tcPr>
            <w:tcW w:w="1394" w:type="dxa"/>
            <w:vMerge w:val="restart"/>
            <w:vAlign w:val="center"/>
            <w:hideMark/>
          </w:tcPr>
          <w:p w14:paraId="0495C6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 (100%)</w:t>
            </w:r>
          </w:p>
        </w:tc>
        <w:tc>
          <w:tcPr>
            <w:tcW w:w="1438" w:type="dxa"/>
            <w:vAlign w:val="center"/>
            <w:hideMark/>
          </w:tcPr>
          <w:p w14:paraId="00FDD4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CSS: 20</w:t>
            </w:r>
          </w:p>
        </w:tc>
      </w:tr>
      <w:tr w:rsidR="00713B5E" w:rsidRPr="009B66A4" w14:paraId="3B36FEF1" w14:textId="77777777" w:rsidTr="00A3759F">
        <w:trPr>
          <w:trHeight w:val="20"/>
        </w:trPr>
        <w:tc>
          <w:tcPr>
            <w:tcW w:w="1444" w:type="dxa"/>
            <w:vMerge/>
            <w:vAlign w:val="center"/>
            <w:hideMark/>
          </w:tcPr>
          <w:p w14:paraId="726E2D5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07CD73D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FE13D6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2EFD1A1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EDDD80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FB4E32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97A1C0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1C9193A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7DB45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217E0B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91460A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1DCC21B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Kerr score: 16</w:t>
            </w:r>
          </w:p>
        </w:tc>
      </w:tr>
      <w:tr w:rsidR="00713B5E" w:rsidRPr="009B66A4" w14:paraId="43E433DF" w14:textId="77777777" w:rsidTr="00A3759F">
        <w:trPr>
          <w:trHeight w:val="20"/>
        </w:trPr>
        <w:tc>
          <w:tcPr>
            <w:tcW w:w="1444" w:type="dxa"/>
            <w:vMerge/>
            <w:vAlign w:val="center"/>
            <w:hideMark/>
          </w:tcPr>
          <w:p w14:paraId="47DF2EA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80CB07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9DB17E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531D69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4402EDB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F669DE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EC3D27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196E50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824C18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52097C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E6AA6C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Align w:val="center"/>
            <w:hideMark/>
          </w:tcPr>
          <w:p w14:paraId="5C8DB84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RSGMS: 4</w:t>
            </w:r>
          </w:p>
        </w:tc>
      </w:tr>
      <w:tr w:rsidR="00713B5E" w:rsidRPr="009B66A4" w14:paraId="49743E3D" w14:textId="77777777" w:rsidTr="00A3759F">
        <w:trPr>
          <w:trHeight w:val="20"/>
        </w:trPr>
        <w:tc>
          <w:tcPr>
            <w:tcW w:w="1444" w:type="dxa"/>
            <w:vMerge w:val="restart"/>
            <w:noWrap/>
            <w:vAlign w:val="center"/>
            <w:hideMark/>
          </w:tcPr>
          <w:p w14:paraId="24A6B9F2" w14:textId="7E8158F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Wong, 2015</w:t>
            </w:r>
            <w:r w:rsidR="007C46F1" w:rsidRPr="009B66A4">
              <w:rPr>
                <w:rFonts w:ascii="Calibri" w:eastAsia="Times New Roman" w:hAnsi="Calibri" w:cs="Calibri"/>
                <w:kern w:val="0"/>
                <w:sz w:val="20"/>
                <w:szCs w:val="20"/>
                <w14:ligatures w14:val="none"/>
              </w:rPr>
              <w:fldChar w:fldCharType="begin"/>
            </w:r>
            <w:r w:rsidR="00E55CCE" w:rsidRPr="009B66A4">
              <w:rPr>
                <w:rFonts w:ascii="Calibri" w:eastAsia="Times New Roman" w:hAnsi="Calibri" w:cs="Calibri"/>
                <w:kern w:val="0"/>
                <w:sz w:val="20"/>
                <w:szCs w:val="20"/>
                <w14:ligatures w14:val="none"/>
              </w:rPr>
              <w:instrText xml:space="preserve"> ADDIN ZOTERO_ITEM CSL_CITATION {"citationID":"ODYzbrh2","properties":{"formattedCitation":"[92]","plainCitation":"[92]","noteIndex":0},"citationItems":[{"id":3451,"uris":["http://zotero.org/users/11896629/items/9WWL5PET"],"itemData":{"id":3451,"type":"article-journal","abstract":"Summary\n            \n              Rett syndrome is a rare neurodevelopmental disorder usually affecting females, and is associated with a mutation in the\n              \n                MECP\n                2\n              \n              gene. Sleep problems occur commonly and we investigated the trajectories and influences of age, mutation and treatments. Data were collected at six time points over 12 years from 320 families registered with the Australian Rett Syndrome Database. Regression analysis was used to investigate relationships between sleep disturbances, age, mutation type and use of treatment, and latent class growth analysis was performed to identify sleep problem phenotypes and model the effect of mutation type. The age range of subjects was 2.0–35.8 years. The study showed that sleep problems occurred in more than 80% of individuals and the prevalence decreased with age. Night laughing and night screaming occurred in 77 and 49%, respectively, when younger. Those with a large deletion had a higher prevalence of night laughing, which often occurred frequently. Treatment was associated with a 1.7% reduction in risk of further sleep problems. High and low baseline prevalence groups were identified. Approximately three‐quarters of girls and women with sleep disturbances were in the high baseline group and problems persisted into adulthood. Conversely, 57% with night laughing and 42% with night screaming in the high baseline group exhibited mild improvement over time. Mutation type was not found to be a significant predictor of group membership. In conclusion, the evolution of sleep problems differed between subgroups of girls and women with Rett syndrome, in part explained by age and genotype. Treatment was not associated with improvement in sleep problems.","container-title":"Journal of Sleep Research","DOI":"10.1111/jsr.12240","ISSN":"0962-1105, 1365-2869","issue":"2","journalAbbreviation":"Journal of Sleep Research","language":"en","license":"http://onlinelibrary.wiley.com/termsAndConditions#vor","page":"223-233","source":"DOI.org (Crossref)","title":"The trajectories of sleep disturbances in Rett syndrome","volume":"24","author":[{"family":"Wong","given":"Kingsley"},{"family":"Leonard","given":"Helen"},{"family":"Jacoby","given":"Peter"},{"family":"Ellaway","given":"Carolyn"},{"family":"Downs","given":"Jenny"}],"issued":{"date-parts":[["2015",4]]}}}],"schema":"https://github.com/citation-style-language/schema/raw/master/csl-citation.json"} </w:instrText>
            </w:r>
            <w:r w:rsidR="007C46F1" w:rsidRPr="009B66A4">
              <w:rPr>
                <w:rFonts w:ascii="Calibri" w:eastAsia="Times New Roman" w:hAnsi="Calibri" w:cs="Calibri"/>
                <w:kern w:val="0"/>
                <w:sz w:val="20"/>
                <w:szCs w:val="20"/>
                <w14:ligatures w14:val="none"/>
              </w:rPr>
              <w:fldChar w:fldCharType="separate"/>
            </w:r>
            <w:r w:rsidR="00E55CCE" w:rsidRPr="009B66A4">
              <w:rPr>
                <w:rFonts w:ascii="Calibri" w:hAnsi="Calibri" w:cs="Calibri"/>
                <w:sz w:val="20"/>
                <w:szCs w:val="20"/>
              </w:rPr>
              <w:t>[92]</w:t>
            </w:r>
            <w:r w:rsidR="007C46F1"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2B383A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vMerge w:val="restart"/>
            <w:noWrap/>
            <w:vAlign w:val="center"/>
            <w:hideMark/>
          </w:tcPr>
          <w:p w14:paraId="2733B1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vMerge w:val="restart"/>
            <w:noWrap/>
            <w:vAlign w:val="center"/>
            <w:hideMark/>
          </w:tcPr>
          <w:p w14:paraId="0520A6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509C60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1A2E4F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7DA0AB9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320</w:t>
            </w:r>
          </w:p>
        </w:tc>
        <w:tc>
          <w:tcPr>
            <w:tcW w:w="1682" w:type="dxa"/>
            <w:vAlign w:val="center"/>
            <w:hideMark/>
          </w:tcPr>
          <w:p w14:paraId="17E4BBA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age at the first (2000) follow – up year: 13.0 years (IQR 8.3 – 17.5)</w:t>
            </w:r>
          </w:p>
        </w:tc>
        <w:tc>
          <w:tcPr>
            <w:tcW w:w="1394" w:type="dxa"/>
            <w:vMerge w:val="restart"/>
            <w:vAlign w:val="center"/>
            <w:hideMark/>
          </w:tcPr>
          <w:p w14:paraId="3D005EE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5246485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320 (100%)</w:t>
            </w:r>
          </w:p>
        </w:tc>
        <w:tc>
          <w:tcPr>
            <w:tcW w:w="1394" w:type="dxa"/>
            <w:vMerge w:val="restart"/>
            <w:vAlign w:val="center"/>
            <w:hideMark/>
          </w:tcPr>
          <w:p w14:paraId="6D5326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vAlign w:val="center"/>
            <w:hideMark/>
          </w:tcPr>
          <w:p w14:paraId="29FF7D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0E57184" w14:textId="77777777" w:rsidTr="00A3759F">
        <w:trPr>
          <w:trHeight w:val="1447"/>
        </w:trPr>
        <w:tc>
          <w:tcPr>
            <w:tcW w:w="1444" w:type="dxa"/>
            <w:vMerge/>
            <w:vAlign w:val="center"/>
            <w:hideMark/>
          </w:tcPr>
          <w:p w14:paraId="0B84830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5A3675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18C0D04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803BC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027522E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62C8C33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AF62A3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60BF50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age at last (2011) follow – up year: 18.1 years (IQR 11.3 – 24.6)</w:t>
            </w:r>
          </w:p>
        </w:tc>
        <w:tc>
          <w:tcPr>
            <w:tcW w:w="1394" w:type="dxa"/>
            <w:vMerge/>
            <w:vAlign w:val="center"/>
            <w:hideMark/>
          </w:tcPr>
          <w:p w14:paraId="267C955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47A62E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632180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ACFCC8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0A44324A" w14:textId="77777777" w:rsidTr="00A3759F">
        <w:trPr>
          <w:trHeight w:val="20"/>
        </w:trPr>
        <w:tc>
          <w:tcPr>
            <w:tcW w:w="1444" w:type="dxa"/>
            <w:noWrap/>
            <w:vAlign w:val="center"/>
            <w:hideMark/>
          </w:tcPr>
          <w:p w14:paraId="0D40AA13" w14:textId="70CAA6D4"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Jefferson, 2015</w:t>
            </w:r>
            <w:r w:rsidR="00E55CCE" w:rsidRPr="009B66A4">
              <w:rPr>
                <w:rFonts w:ascii="Calibri" w:eastAsia="Times New Roman" w:hAnsi="Calibri" w:cs="Calibri"/>
                <w:kern w:val="0"/>
                <w:sz w:val="20"/>
                <w:szCs w:val="20"/>
                <w14:ligatures w14:val="none"/>
              </w:rPr>
              <w:fldChar w:fldCharType="begin"/>
            </w:r>
            <w:r w:rsidR="00A57CD7" w:rsidRPr="009B66A4">
              <w:rPr>
                <w:rFonts w:ascii="Calibri" w:eastAsia="Times New Roman" w:hAnsi="Calibri" w:cs="Calibri"/>
                <w:kern w:val="0"/>
                <w:sz w:val="20"/>
                <w:szCs w:val="20"/>
                <w14:ligatures w14:val="none"/>
              </w:rPr>
              <w:instrText xml:space="preserve"> ADDIN ZOTERO_ITEM CSL_CITATION {"citationID":"nbMCl2cP","properties":{"formattedCitation":"[93]","plainCitation":"[93]","noteIndex":0},"citationItems":[{"id":3453,"uris":["http://zotero.org/users/11896629/items/EXMS622U"],"itemData":{"id":3453,"type":"article-journal","container-title":"Bone","DOI":"10.1016/j.bone.2015.01.023","ISSN":"87563282","journalAbbreviation":"Bone","language":"en","page":"191-198","source":"DOI.org (Crossref)","title":"Longitudinal bone mineral content and density in Rett syndrome and their contributing factors","volume":"74","author":[{"family":"Jefferson","given":"Amanda"},{"family":"Fyfe","given":"Sue"},{"family":"Downs","given":"Jenny"},{"family":"Woodhead","given":"Helen"},{"family":"Jacoby","given":"Peter"},{"family":"Leonard","given":"Helen"}],"issued":{"date-parts":[["2015",5]]}}}],"schema":"https://github.com/citation-style-language/schema/raw/master/csl-citation.json"} </w:instrText>
            </w:r>
            <w:r w:rsidR="00E55CCE" w:rsidRPr="009B66A4">
              <w:rPr>
                <w:rFonts w:ascii="Calibri" w:eastAsia="Times New Roman" w:hAnsi="Calibri" w:cs="Calibri"/>
                <w:kern w:val="0"/>
                <w:sz w:val="20"/>
                <w:szCs w:val="20"/>
                <w14:ligatures w14:val="none"/>
              </w:rPr>
              <w:fldChar w:fldCharType="separate"/>
            </w:r>
            <w:r w:rsidR="00A57CD7" w:rsidRPr="009B66A4">
              <w:rPr>
                <w:rFonts w:ascii="Calibri" w:hAnsi="Calibri" w:cs="Calibri"/>
                <w:sz w:val="20"/>
                <w:szCs w:val="20"/>
              </w:rPr>
              <w:t>[93]</w:t>
            </w:r>
            <w:r w:rsidR="00E55CC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4C95B9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3BCA9A2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668880C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DC1AF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A6A63D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E84C0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w:t>
            </w:r>
          </w:p>
        </w:tc>
        <w:tc>
          <w:tcPr>
            <w:tcW w:w="1682" w:type="dxa"/>
            <w:vAlign w:val="center"/>
            <w:hideMark/>
          </w:tcPr>
          <w:p w14:paraId="55D39A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15.2</w:t>
            </w:r>
          </w:p>
        </w:tc>
        <w:tc>
          <w:tcPr>
            <w:tcW w:w="1394" w:type="dxa"/>
            <w:vAlign w:val="center"/>
            <w:hideMark/>
          </w:tcPr>
          <w:p w14:paraId="31EA6CD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095DE3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 (100%)</w:t>
            </w:r>
          </w:p>
        </w:tc>
        <w:tc>
          <w:tcPr>
            <w:tcW w:w="1394" w:type="dxa"/>
            <w:vAlign w:val="center"/>
            <w:hideMark/>
          </w:tcPr>
          <w:p w14:paraId="71FAC5B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57 (77%)</w:t>
            </w:r>
          </w:p>
        </w:tc>
        <w:tc>
          <w:tcPr>
            <w:tcW w:w="1438" w:type="dxa"/>
            <w:vAlign w:val="center"/>
            <w:hideMark/>
          </w:tcPr>
          <w:p w14:paraId="3C7FB4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EA1AD1F" w14:textId="77777777" w:rsidTr="00A3759F">
        <w:trPr>
          <w:trHeight w:val="20"/>
        </w:trPr>
        <w:tc>
          <w:tcPr>
            <w:tcW w:w="1444" w:type="dxa"/>
            <w:noWrap/>
            <w:vAlign w:val="center"/>
            <w:hideMark/>
          </w:tcPr>
          <w:p w14:paraId="7549ECA3" w14:textId="73BD00D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Tarquinio, 2015</w:t>
            </w:r>
            <w:r w:rsidR="00A57CD7" w:rsidRPr="009B66A4">
              <w:rPr>
                <w:rFonts w:ascii="Calibri" w:eastAsia="Times New Roman" w:hAnsi="Calibri" w:cs="Calibri"/>
                <w:kern w:val="0"/>
                <w:sz w:val="20"/>
                <w:szCs w:val="20"/>
                <w14:ligatures w14:val="none"/>
              </w:rPr>
              <w:fldChar w:fldCharType="begin"/>
            </w:r>
            <w:r w:rsidR="00A57CD7" w:rsidRPr="009B66A4">
              <w:rPr>
                <w:rFonts w:ascii="Calibri" w:eastAsia="Times New Roman" w:hAnsi="Calibri" w:cs="Calibri"/>
                <w:kern w:val="0"/>
                <w:sz w:val="20"/>
                <w:szCs w:val="20"/>
                <w14:ligatures w14:val="none"/>
              </w:rPr>
              <w:instrText xml:space="preserve"> ADDIN ZOTERO_ITEM CSL_CITATION {"citationID":"80obVlMD","properties":{"formattedCitation":"[94]","plainCitation":"[94]","noteIndex":0},"citationItems":[{"id":2903,"uris":["http://zotero.org/users/11896629/items/YXMTDHXD"],"itemData":{"id":2903,"type":"article-journal","container-title":"Pediatric Neurology","DOI":"10.1016/j.pediatrneurol.2015.02.007","ISSN":"08878994","issue":"6","journalAbbreviation":"Pediatric Neurology","language":"en","page":"585-591.e2","source":"DOI.org (Crossref)","title":"Age of Diagnosis in Rett Syndrome: Patterns of Recognition Among Diagnosticians and Risk Factors for Late Diagnosis","title-short":"Age of Diagnosis in Rett Syndrome","volume":"52","author":[{"family":"Tarquinio","given":"Daniel C."},{"family":"Hou","given":"Wei"},{"family":"Neul","given":"Jeffrey L."},{"family":"Lane","given":"Jane B."},{"family":"Barnes","given":"Katherine V."},{"family":"O'Leary","given":"Heather M."},{"family":"Bruck","given":"Natalie M."},{"family":"Kaufmann","given":"Walter E."},{"family":"Motil","given":"Kathleen J."},{"family":"Glaze","given":"Daniel G."},{"family":"Skinner","given":"Steven A."},{"family":"Annese","given":"Fran"},{"family":"Baggett","given":"Lauren"},{"family":"Barrish","given":"Judy O."},{"family":"Geerts","given":"Suzanne P."},{"family":"Percy","given":"Alan K."}],"issued":{"date-parts":[["2015",6]]}}}],"schema":"https://github.com/citation-style-language/schema/raw/master/csl-citation.json"} </w:instrText>
            </w:r>
            <w:r w:rsidR="00A57CD7" w:rsidRPr="009B66A4">
              <w:rPr>
                <w:rFonts w:ascii="Calibri" w:eastAsia="Times New Roman" w:hAnsi="Calibri" w:cs="Calibri"/>
                <w:kern w:val="0"/>
                <w:sz w:val="20"/>
                <w:szCs w:val="20"/>
                <w14:ligatures w14:val="none"/>
              </w:rPr>
              <w:fldChar w:fldCharType="separate"/>
            </w:r>
            <w:r w:rsidR="00A57CD7" w:rsidRPr="009B66A4">
              <w:rPr>
                <w:rFonts w:ascii="Calibri" w:hAnsi="Calibri" w:cs="Calibri"/>
                <w:sz w:val="20"/>
                <w:szCs w:val="20"/>
              </w:rPr>
              <w:t>[94]</w:t>
            </w:r>
            <w:r w:rsidR="00A57CD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0082C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449CBA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4BA97C6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01594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6F6230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BAA2C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1085</w:t>
            </w:r>
          </w:p>
        </w:tc>
        <w:tc>
          <w:tcPr>
            <w:tcW w:w="1682" w:type="dxa"/>
            <w:vAlign w:val="center"/>
            <w:hideMark/>
          </w:tcPr>
          <w:p w14:paraId="4A814C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5D6B5D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7AEB6D4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1085 (100%)</w:t>
            </w:r>
          </w:p>
        </w:tc>
        <w:tc>
          <w:tcPr>
            <w:tcW w:w="1394" w:type="dxa"/>
            <w:vAlign w:val="center"/>
            <w:hideMark/>
          </w:tcPr>
          <w:p w14:paraId="34CCC2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2E4F2D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ED82BBB" w14:textId="77777777" w:rsidTr="00A3759F">
        <w:trPr>
          <w:trHeight w:val="20"/>
        </w:trPr>
        <w:tc>
          <w:tcPr>
            <w:tcW w:w="1444" w:type="dxa"/>
            <w:noWrap/>
            <w:vAlign w:val="center"/>
            <w:hideMark/>
          </w:tcPr>
          <w:p w14:paraId="0B7B57CE" w14:textId="78A8B9DF"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Cianfaglione, 2015</w:t>
            </w:r>
            <w:r w:rsidR="00A57CD7" w:rsidRPr="009B66A4">
              <w:rPr>
                <w:rFonts w:ascii="Calibri" w:eastAsia="Times New Roman" w:hAnsi="Calibri" w:cs="Calibri"/>
                <w:kern w:val="0"/>
                <w:sz w:val="20"/>
                <w:szCs w:val="20"/>
                <w14:ligatures w14:val="none"/>
              </w:rPr>
              <w:fldChar w:fldCharType="begin"/>
            </w:r>
            <w:r w:rsidR="00A57CD7" w:rsidRPr="009B66A4">
              <w:rPr>
                <w:rFonts w:ascii="Calibri" w:eastAsia="Times New Roman" w:hAnsi="Calibri" w:cs="Calibri"/>
                <w:kern w:val="0"/>
                <w:sz w:val="20"/>
                <w:szCs w:val="20"/>
                <w14:ligatures w14:val="none"/>
              </w:rPr>
              <w:instrText xml:space="preserve"> ADDIN ZOTERO_ITEM CSL_CITATION {"citationID":"prnixlNr","properties":{"formattedCitation":"[95]","plainCitation":"[95]","noteIndex":0},"citationItems":[{"id":2897,"uris":["http://zotero.org/users/11896629/items/ZLZVL4QK"],"itemData":{"id":2897,"type":"article-journal","container-title":"Journal of Neurodevelopmental Disorders","DOI":"10.1186/s11689-015-9104-y","ISSN":"1866-1947, 1866-1955","issue":"1","journalAbbreviation":"J Neurodevelop Disord","language":"en","page":"11","source":"DOI.org (Crossref)","title":"A national survey of Rett syndrome: behavioural characteristics","title-short":"A national survey of Rett syndrome","volume":"7","author":[{"family":"Cianfaglione","given":"Rina"},{"family":"Clarke","given":"Angus"},{"family":"Kerr","given":"Michael"},{"family":"Hastings","given":"Richard P"},{"family":"Oliver","given":"Chris"},{"family":"Moss","given":"Jo"},{"family":"Heald","given":"Mary"},{"family":"Felce","given":"David"}],"issued":{"date-parts":[["2015",12]]}}}],"schema":"https://github.com/citation-style-language/schema/raw/master/csl-citation.json"} </w:instrText>
            </w:r>
            <w:r w:rsidR="00A57CD7" w:rsidRPr="009B66A4">
              <w:rPr>
                <w:rFonts w:ascii="Calibri" w:eastAsia="Times New Roman" w:hAnsi="Calibri" w:cs="Calibri"/>
                <w:kern w:val="0"/>
                <w:sz w:val="20"/>
                <w:szCs w:val="20"/>
                <w14:ligatures w14:val="none"/>
              </w:rPr>
              <w:fldChar w:fldCharType="separate"/>
            </w:r>
            <w:r w:rsidR="00A57CD7" w:rsidRPr="009B66A4">
              <w:rPr>
                <w:rFonts w:ascii="Calibri" w:hAnsi="Calibri" w:cs="Calibri"/>
                <w:sz w:val="20"/>
                <w:szCs w:val="20"/>
              </w:rPr>
              <w:t>[95]</w:t>
            </w:r>
            <w:r w:rsidR="00A57CD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5E42F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noWrap/>
            <w:vAlign w:val="center"/>
            <w:hideMark/>
          </w:tcPr>
          <w:p w14:paraId="6E0443B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34A7034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63654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D5291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3A2C2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91</w:t>
            </w:r>
          </w:p>
        </w:tc>
        <w:tc>
          <w:tcPr>
            <w:tcW w:w="1682" w:type="dxa"/>
            <w:noWrap/>
            <w:vAlign w:val="center"/>
            <w:hideMark/>
          </w:tcPr>
          <w:p w14:paraId="65FFB9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20.5</w:t>
            </w:r>
          </w:p>
        </w:tc>
        <w:tc>
          <w:tcPr>
            <w:tcW w:w="1394" w:type="dxa"/>
            <w:noWrap/>
            <w:vAlign w:val="center"/>
            <w:hideMark/>
          </w:tcPr>
          <w:p w14:paraId="1E8C65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B1D01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91 (100%)</w:t>
            </w:r>
          </w:p>
        </w:tc>
        <w:tc>
          <w:tcPr>
            <w:tcW w:w="1394" w:type="dxa"/>
            <w:noWrap/>
            <w:vAlign w:val="center"/>
            <w:hideMark/>
          </w:tcPr>
          <w:p w14:paraId="72CA07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71 (78%)</w:t>
            </w:r>
          </w:p>
        </w:tc>
        <w:tc>
          <w:tcPr>
            <w:tcW w:w="1438" w:type="dxa"/>
            <w:noWrap/>
            <w:vAlign w:val="center"/>
            <w:hideMark/>
          </w:tcPr>
          <w:p w14:paraId="4B956F3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5C36F4B" w14:textId="77777777" w:rsidTr="00A3759F">
        <w:trPr>
          <w:trHeight w:val="20"/>
        </w:trPr>
        <w:tc>
          <w:tcPr>
            <w:tcW w:w="1444" w:type="dxa"/>
            <w:noWrap/>
            <w:vAlign w:val="center"/>
            <w:hideMark/>
          </w:tcPr>
          <w:p w14:paraId="061278DB" w14:textId="2F3E7BD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Djukic, 2014</w:t>
            </w:r>
            <w:r w:rsidR="00A57CD7" w:rsidRPr="009B66A4">
              <w:rPr>
                <w:rFonts w:ascii="Calibri" w:eastAsia="Times New Roman" w:hAnsi="Calibri" w:cs="Calibri"/>
                <w:kern w:val="0"/>
                <w:sz w:val="20"/>
                <w:szCs w:val="20"/>
                <w14:ligatures w14:val="none"/>
              </w:rPr>
              <w:fldChar w:fldCharType="begin"/>
            </w:r>
            <w:r w:rsidR="00A57CD7" w:rsidRPr="009B66A4">
              <w:rPr>
                <w:rFonts w:ascii="Calibri" w:eastAsia="Times New Roman" w:hAnsi="Calibri" w:cs="Calibri"/>
                <w:kern w:val="0"/>
                <w:sz w:val="20"/>
                <w:szCs w:val="20"/>
                <w14:ligatures w14:val="none"/>
              </w:rPr>
              <w:instrText xml:space="preserve"> ADDIN ZOTERO_ITEM CSL_CITATION {"citationID":"OIkNIHEC","properties":{"formattedCitation":"[96]","plainCitation":"[96]","noteIndex":0},"citationItems":[{"id":3326,"uris":["http://zotero.org/users/11896629/items/E2IZ6QGZ"],"itemData":{"id":3326,"type":"article-journal","container-title":"Pediatric Neurology","DOI":"10.1016/j.pediatrneurol.2014.07.022","ISSN":"08878994","issue":"5","journalAbbreviation":"Pediatric Neurology","language":"en","page":"650-656","source":"DOI.org (Crossref)","title":"Rett Syndrome: Recognition of Facial Expression and Its Relation to Scanning Patterns","title-short":"Rett Syndrome","volume":"51","author":[{"family":"Djukic","given":"Aleksandra"},{"family":"Rose","given":"Susan A."},{"family":"Jankowski","given":"Jeffery J."},{"family":"Feldman","given":"Judith F."}],"issued":{"date-parts":[["2014",11]]}}}],"schema":"https://github.com/citation-style-language/schema/raw/master/csl-citation.json"} </w:instrText>
            </w:r>
            <w:r w:rsidR="00A57CD7" w:rsidRPr="009B66A4">
              <w:rPr>
                <w:rFonts w:ascii="Calibri" w:eastAsia="Times New Roman" w:hAnsi="Calibri" w:cs="Calibri"/>
                <w:kern w:val="0"/>
                <w:sz w:val="20"/>
                <w:szCs w:val="20"/>
                <w14:ligatures w14:val="none"/>
              </w:rPr>
              <w:fldChar w:fldCharType="separate"/>
            </w:r>
            <w:r w:rsidR="00A57CD7" w:rsidRPr="009B66A4">
              <w:rPr>
                <w:rFonts w:ascii="Calibri" w:hAnsi="Calibri" w:cs="Calibri"/>
                <w:sz w:val="20"/>
                <w:szCs w:val="20"/>
              </w:rPr>
              <w:t>[96]</w:t>
            </w:r>
            <w:r w:rsidR="00A57CD7" w:rsidRPr="009B66A4">
              <w:rPr>
                <w:rFonts w:ascii="Calibri" w:eastAsia="Times New Roman" w:hAnsi="Calibri" w:cs="Calibri"/>
                <w:kern w:val="0"/>
                <w:sz w:val="20"/>
                <w:szCs w:val="20"/>
                <w14:ligatures w14:val="none"/>
              </w:rPr>
              <w:fldChar w:fldCharType="end"/>
            </w:r>
          </w:p>
        </w:tc>
        <w:tc>
          <w:tcPr>
            <w:tcW w:w="1194" w:type="dxa"/>
            <w:vAlign w:val="center"/>
            <w:hideMark/>
          </w:tcPr>
          <w:p w14:paraId="0DB32D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Align w:val="center"/>
            <w:hideMark/>
          </w:tcPr>
          <w:p w14:paraId="2DF196F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2839A57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468D023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A9A14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7418FD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37</w:t>
            </w:r>
          </w:p>
        </w:tc>
        <w:tc>
          <w:tcPr>
            <w:tcW w:w="1682" w:type="dxa"/>
            <w:vAlign w:val="center"/>
            <w:hideMark/>
          </w:tcPr>
          <w:p w14:paraId="7DBD50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10.03 (7.72)</w:t>
            </w:r>
          </w:p>
        </w:tc>
        <w:tc>
          <w:tcPr>
            <w:tcW w:w="1394" w:type="dxa"/>
            <w:vAlign w:val="center"/>
            <w:hideMark/>
          </w:tcPr>
          <w:p w14:paraId="62CEA4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2C9C91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37 (100%)</w:t>
            </w:r>
          </w:p>
        </w:tc>
        <w:tc>
          <w:tcPr>
            <w:tcW w:w="1394" w:type="dxa"/>
            <w:vAlign w:val="center"/>
            <w:hideMark/>
          </w:tcPr>
          <w:p w14:paraId="0D900E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6A8259F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mean (SD): 11.51 (3.43)</w:t>
            </w:r>
          </w:p>
        </w:tc>
      </w:tr>
      <w:tr w:rsidR="00713B5E" w:rsidRPr="009B66A4" w14:paraId="594B1442" w14:textId="77777777" w:rsidTr="00A3759F">
        <w:trPr>
          <w:trHeight w:val="20"/>
        </w:trPr>
        <w:tc>
          <w:tcPr>
            <w:tcW w:w="1444" w:type="dxa"/>
            <w:noWrap/>
            <w:vAlign w:val="center"/>
            <w:hideMark/>
          </w:tcPr>
          <w:p w14:paraId="55915A0D" w14:textId="64A4926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 Felice, 2014</w:t>
            </w:r>
            <w:r w:rsidR="00A57CD7" w:rsidRPr="009B66A4">
              <w:rPr>
                <w:rFonts w:ascii="Calibri" w:eastAsia="Times New Roman" w:hAnsi="Calibri" w:cs="Calibri"/>
                <w:kern w:val="0"/>
                <w:sz w:val="20"/>
                <w:szCs w:val="20"/>
                <w14:ligatures w14:val="none"/>
              </w:rPr>
              <w:fldChar w:fldCharType="begin"/>
            </w:r>
            <w:r w:rsidR="00D12959" w:rsidRPr="009B66A4">
              <w:rPr>
                <w:rFonts w:ascii="Calibri" w:eastAsia="Times New Roman" w:hAnsi="Calibri" w:cs="Calibri"/>
                <w:kern w:val="0"/>
                <w:sz w:val="20"/>
                <w:szCs w:val="20"/>
                <w14:ligatures w14:val="none"/>
              </w:rPr>
              <w:instrText xml:space="preserve"> ADDIN ZOTERO_ITEM CSL_CITATION {"citationID":"upooRn8D","properties":{"formattedCitation":"[97]","plainCitation":"[97]","noteIndex":0},"citationItems":[{"id":3454,"uris":["http://zotero.org/users/11896629/items/CUCAE9VI"],"itemData":{"id":3454,"type":"article-journal","abstract":"Rett syndrome (RTT) is a pervasive neurodevelopmental disorder mainly linked to mutations in the gene encoding the methyl-CpG-binding protein 2 (MeCP2). Respiratory dysfunction, historically credited to brainstem immaturity, represents a major challenge in RTT. Our aim was to characterize the relationships between pulmonary gas exchange abnormality (GEA), upper airway obstruction, and redox status in patients with typical RTT (\n              n\n              = 228) and to examine lung histology in a\n              Mecp2\n              -null mouse model of the disease. GEA was detectable in ~80% (184/228) of patients versus ~18% of healthy controls, with “high” (39.8%) and “low” (34.8%) patterns dominating over “mixed” (19.6%) and “simple mismatch” (5.9%) types. Increased plasma levels of non-protein-bound iron (NPBI), F\n              2\n              -isoprostanes (F\n              2\n              -IsoPs), intraerythrocyte NPBI (IE-NPBI), and reduced and oxidized glutathione (i.e., GSH and GSSG) were evidenced in RTT with consequently decreased GSH/GSSG ratios. Apnea frequency/severity was positively correlated with IE-NPBI, F\n              2\n              -IsoPs, and GSSG and negatively with GSH/GSSG ratio. A diffuse inflammatory infiltrate of the terminal bronchioles and alveoli was evidenced in half of the examined\n              Mecp2\n              -mutant mice, well fitting with the radiological findings previously observed in RTT patients. Our findings indicate that GEA is a key feature of RTT and that terminal bronchioles are a likely major target of the disease.","container-title":"Mediators of Inflammation","DOI":"10.1155/2014/560120","ISSN":"0962-9351, 1466-1861","journalAbbreviation":"Mediators of Inflammation","language":"en","license":"http://creativecommons.org/licenses/by/3.0/","page":"1-15","source":"DOI.org (Crossref)","title":"Inflammatory Lung Disease in Rett Syndrome","volume":"2014","author":[{"family":"De Felice","given":"Claudio"},{"family":"Rossi","given":"Marcello"},{"family":"Leoncini","given":"Silvia"},{"family":"Chisci","given":"Glauco"},{"family":"Signorini","given":"Cinzia"},{"family":"Lonetti","given":"Giuseppina"},{"family":"Vannuccini","given":"Laura"},{"family":"Spina","given":"Donatella"},{"family":"Ginori","given":"Alessandro"},{"family":"Iacona","given":"Ingrid"},{"family":"Cortelazzo","given":"Alessio"},{"family":"Pecorelli","given":"Alessandra"},{"family":"Valacchi","given":"Giuseppe"},{"family":"Ciccoli","given":"Lucia"},{"family":"Pizzorusso","given":"Tommaso"},{"family":"Hayek","given":"Joussef"}],"issued":{"date-parts":[["2014"]]}}}],"schema":"https://github.com/citation-style-language/schema/raw/master/csl-citation.json"} </w:instrText>
            </w:r>
            <w:r w:rsidR="00A57CD7" w:rsidRPr="009B66A4">
              <w:rPr>
                <w:rFonts w:ascii="Calibri" w:eastAsia="Times New Roman" w:hAnsi="Calibri" w:cs="Calibri"/>
                <w:kern w:val="0"/>
                <w:sz w:val="20"/>
                <w:szCs w:val="20"/>
                <w14:ligatures w14:val="none"/>
              </w:rPr>
              <w:fldChar w:fldCharType="separate"/>
            </w:r>
            <w:r w:rsidR="00D12959" w:rsidRPr="009B66A4">
              <w:rPr>
                <w:rFonts w:ascii="Calibri" w:hAnsi="Calibri" w:cs="Calibri"/>
                <w:sz w:val="20"/>
                <w:szCs w:val="20"/>
              </w:rPr>
              <w:t>[97]</w:t>
            </w:r>
            <w:r w:rsidR="00A57CD7" w:rsidRPr="009B66A4">
              <w:rPr>
                <w:rFonts w:ascii="Calibri" w:eastAsia="Times New Roman" w:hAnsi="Calibri" w:cs="Calibri"/>
                <w:kern w:val="0"/>
                <w:sz w:val="20"/>
                <w:szCs w:val="20"/>
                <w14:ligatures w14:val="none"/>
              </w:rPr>
              <w:fldChar w:fldCharType="end"/>
            </w:r>
          </w:p>
        </w:tc>
        <w:tc>
          <w:tcPr>
            <w:tcW w:w="1194" w:type="dxa"/>
            <w:vAlign w:val="center"/>
            <w:hideMark/>
          </w:tcPr>
          <w:p w14:paraId="44387B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Align w:val="center"/>
            <w:hideMark/>
          </w:tcPr>
          <w:p w14:paraId="45E091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vAlign w:val="center"/>
            <w:hideMark/>
          </w:tcPr>
          <w:p w14:paraId="533C72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106BB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A5B65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6F4DA35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228</w:t>
            </w:r>
          </w:p>
        </w:tc>
        <w:tc>
          <w:tcPr>
            <w:tcW w:w="1682" w:type="dxa"/>
            <w:vAlign w:val="center"/>
            <w:hideMark/>
          </w:tcPr>
          <w:p w14:paraId="10801DA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12.9 (7.9)</w:t>
            </w:r>
          </w:p>
        </w:tc>
        <w:tc>
          <w:tcPr>
            <w:tcW w:w="1394" w:type="dxa"/>
            <w:vAlign w:val="center"/>
            <w:hideMark/>
          </w:tcPr>
          <w:p w14:paraId="1DFEF3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58D703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228 (100%)</w:t>
            </w:r>
          </w:p>
        </w:tc>
        <w:tc>
          <w:tcPr>
            <w:tcW w:w="1394" w:type="dxa"/>
            <w:vAlign w:val="center"/>
            <w:hideMark/>
          </w:tcPr>
          <w:p w14:paraId="4BAB1C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228 (100%)</w:t>
            </w:r>
          </w:p>
        </w:tc>
        <w:tc>
          <w:tcPr>
            <w:tcW w:w="1438" w:type="dxa"/>
            <w:noWrap/>
            <w:vAlign w:val="center"/>
            <w:hideMark/>
          </w:tcPr>
          <w:p w14:paraId="7E6A9109" w14:textId="34507EC9"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17.4 (7.3)</w:t>
            </w:r>
          </w:p>
        </w:tc>
      </w:tr>
      <w:tr w:rsidR="00713B5E" w:rsidRPr="009B66A4" w14:paraId="7A9C2702" w14:textId="77777777" w:rsidTr="00A3759F">
        <w:trPr>
          <w:trHeight w:val="20"/>
        </w:trPr>
        <w:tc>
          <w:tcPr>
            <w:tcW w:w="1444" w:type="dxa"/>
            <w:noWrap/>
            <w:vAlign w:val="center"/>
            <w:hideMark/>
          </w:tcPr>
          <w:p w14:paraId="305509E9" w14:textId="5684C4C4"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Anderson, 2014</w:t>
            </w:r>
            <w:r w:rsidR="00D12959" w:rsidRPr="009B66A4">
              <w:rPr>
                <w:rFonts w:ascii="Calibri" w:eastAsia="Times New Roman" w:hAnsi="Calibri" w:cs="Calibri"/>
                <w:kern w:val="0"/>
                <w:sz w:val="20"/>
                <w:szCs w:val="20"/>
                <w14:ligatures w14:val="none"/>
              </w:rPr>
              <w:fldChar w:fldCharType="begin"/>
            </w:r>
            <w:r w:rsidR="003565B2" w:rsidRPr="009B66A4">
              <w:rPr>
                <w:rFonts w:ascii="Calibri" w:eastAsia="Times New Roman" w:hAnsi="Calibri" w:cs="Calibri"/>
                <w:kern w:val="0"/>
                <w:sz w:val="20"/>
                <w:szCs w:val="20"/>
                <w14:ligatures w14:val="none"/>
              </w:rPr>
              <w:instrText xml:space="preserve"> ADDIN ZOTERO_ITEM CSL_CITATION {"citationID":"GlwMCq2t","properties":{"formattedCitation":"[98]","plainCitation":"[98]","noteIndex":0},"citationItems":[{"id":3456,"uris":["http://zotero.org/users/11896629/items/HPHDBZHL"],"itemData":{"id":3456,"type":"article-journal","container-title":"Orphanet Journal of Rare Diseases","DOI":"10.1186/1750-1172-9-87","ISSN":"1750-1172","issue":"1","journalAbbreviation":"Orphanet J Rare Dis","language":"en","page":"87","source":"DOI.org (Crossref)","title":"Twenty years of surveillance in Rett syndrome: what does this tell us?","title-short":"Twenty years of surveillance in Rett syndrome","volume":"9","author":[{"family":"Anderson","given":"Alison"},{"family":"Wong","given":"Kingsley"},{"family":"Jacoby","given":"Peter"},{"family":"Downs","given":"Jenny"},{"family":"Leonard","given":"Helen"}],"issued":{"date-parts":[["2014",12]]}}}],"schema":"https://github.com/citation-style-language/schema/raw/master/csl-citation.json"} </w:instrText>
            </w:r>
            <w:r w:rsidR="00D12959" w:rsidRPr="009B66A4">
              <w:rPr>
                <w:rFonts w:ascii="Calibri" w:eastAsia="Times New Roman" w:hAnsi="Calibri" w:cs="Calibri"/>
                <w:kern w:val="0"/>
                <w:sz w:val="20"/>
                <w:szCs w:val="20"/>
                <w14:ligatures w14:val="none"/>
              </w:rPr>
              <w:fldChar w:fldCharType="separate"/>
            </w:r>
            <w:r w:rsidR="003565B2" w:rsidRPr="009B66A4">
              <w:rPr>
                <w:rFonts w:ascii="Calibri" w:hAnsi="Calibri" w:cs="Calibri"/>
                <w:sz w:val="20"/>
                <w:szCs w:val="20"/>
              </w:rPr>
              <w:t>[98]</w:t>
            </w:r>
            <w:r w:rsidR="00D1295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969F2A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Multiple (24 countries including USA, Australia, Canada and UK)</w:t>
            </w:r>
          </w:p>
        </w:tc>
        <w:tc>
          <w:tcPr>
            <w:tcW w:w="1316" w:type="dxa"/>
            <w:noWrap/>
            <w:vAlign w:val="center"/>
            <w:hideMark/>
          </w:tcPr>
          <w:p w14:paraId="008DF32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60B6629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4FF0BD2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19664D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61A7E2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423</w:t>
            </w:r>
          </w:p>
        </w:tc>
        <w:tc>
          <w:tcPr>
            <w:tcW w:w="1682" w:type="dxa"/>
            <w:vAlign w:val="center"/>
            <w:hideMark/>
          </w:tcPr>
          <w:p w14:paraId="00AB0F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24.9 (Range: 18.0 to 54.3)</w:t>
            </w:r>
          </w:p>
        </w:tc>
        <w:tc>
          <w:tcPr>
            <w:tcW w:w="1394" w:type="dxa"/>
            <w:noWrap/>
            <w:vAlign w:val="center"/>
            <w:hideMark/>
          </w:tcPr>
          <w:p w14:paraId="3D7F22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14A4A8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423 (100%)</w:t>
            </w:r>
          </w:p>
        </w:tc>
        <w:tc>
          <w:tcPr>
            <w:tcW w:w="1394" w:type="dxa"/>
            <w:noWrap/>
            <w:vAlign w:val="center"/>
            <w:hideMark/>
          </w:tcPr>
          <w:p w14:paraId="2A1A01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233 (55.08%)</w:t>
            </w:r>
          </w:p>
        </w:tc>
        <w:tc>
          <w:tcPr>
            <w:tcW w:w="1438" w:type="dxa"/>
            <w:vAlign w:val="center"/>
            <w:hideMark/>
          </w:tcPr>
          <w:p w14:paraId="42B37BA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5ED52E9" w14:textId="77777777" w:rsidTr="00A3759F">
        <w:trPr>
          <w:trHeight w:val="20"/>
        </w:trPr>
        <w:tc>
          <w:tcPr>
            <w:tcW w:w="1444" w:type="dxa"/>
            <w:noWrap/>
            <w:vAlign w:val="center"/>
            <w:hideMark/>
          </w:tcPr>
          <w:p w14:paraId="53917A67" w14:textId="58E98F93"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Freilinger, 2014</w:t>
            </w:r>
            <w:r w:rsidR="003565B2" w:rsidRPr="009B66A4">
              <w:rPr>
                <w:rFonts w:ascii="Calibri" w:eastAsia="Times New Roman" w:hAnsi="Calibri" w:cs="Calibri"/>
                <w:kern w:val="0"/>
                <w:sz w:val="20"/>
                <w:szCs w:val="20"/>
                <w14:ligatures w14:val="none"/>
              </w:rPr>
              <w:fldChar w:fldCharType="begin"/>
            </w:r>
            <w:r w:rsidR="00166D52" w:rsidRPr="009B66A4">
              <w:rPr>
                <w:rFonts w:ascii="Calibri" w:eastAsia="Times New Roman" w:hAnsi="Calibri" w:cs="Calibri"/>
                <w:kern w:val="0"/>
                <w:sz w:val="20"/>
                <w:szCs w:val="20"/>
                <w14:ligatures w14:val="none"/>
              </w:rPr>
              <w:instrText xml:space="preserve"> ADDIN ZOTERO_ITEM CSL_CITATION {"citationID":"rPapKaSV","properties":{"formattedCitation":"[99]","plainCitation":"[99]","noteIndex":0},"citationItems":[{"id":3458,"uris":["http://zotero.org/users/11896629/items/P2UTCKMW"],"itemData":{"id":3458,"type":"article-journal","abstract":"Aim\n              This study determined the prevalence of cholelithiasis and/or cholecystectomy in Rett syndrome, described gallbladder function in a clinical cohort, and identified recommendations for assessment and management of gallbladder disease.\n            \n            \n              Method\n              \n                The incidence of cholelithiasis/cholecystectomy was estimated from data describing 270 and 681 individuals with a pathogenic\n                \n                  MECP\n                  2\n                \n                mutation in the Australian Rett Syndrome Database and the International Rett Syndrome Phenotype Database respectively. Gallbladder function in 25 females (mean age 16y 5mo,\n                SD\n                20y 7mo, range 3y 5mo–47y 10mo) with Rett syndrome (\n                RTT\n                ) was evaluated with clinical assessment and ultrasound of the gallbladder. The Delphi technique was used to develop assessment and treatment recommendations.\n              \n            \n            \n              Results\n              \n                The incidence rate for cholelithiasis and/or cholecystectomy was 2.3 (95% confidence interval [\n                CI\n                ] 1.1–4.2) and 1.8 (95%\n                CI\n                1.0–3.0) per 1000 person‐years in the Australian and International Databases respectively. The mean contractility index of the gallbladder for the clinical sample was 46.5% (\n                SD\n                38.3%), smaller than for healthy individuals but similar to children with Down syndrome, despite no clinical symptoms. After excluding gastroesophageal reflux, gallbladder disease should be considered as a cause of abdominal pain in\n                RTT\n                and cholecystectomy recommended if symptomatic.\n              \n            \n            \n              Interpretation\n              \n                Gallbladder disease is relatively common in\n                RTT\n                and should be considered in the differential diagnosis of abdominal pain in\n                RTT\n                .\n              \n            \n          , \n            What this paper adds\n            \n              \n                \n                  Gallbladder disease occurs more frequently in those with RTT compared with the general population.\n                \n                \n                  Smaller gallbladder volumes and decreased contractility were found in RTT compared with healthy controls similar to those with Down syndrome.\n                \n                \n                  Gallbladder disease should be considered in the differential diagnosis of abdominal pain in Rett syndrome.","container-title":"Developmental Medicine &amp; Child Neurology","DOI":"10.1111/dmcn.12358","ISSN":"0012-1622, 1469-8749","issue":"8","journalAbbreviation":"Develop Med Child Neuro","language":"en","page":"756-762","source":"DOI.org (Crossref)","title":"Prevalence, clinical investigation, and management of gallbladder disease in Rett syndrome","volume":"56","author":[{"family":"Freilinger","given":"Michael"},{"family":"Böhm","given":"Michael"},{"family":"Lanator","given":"Ines"},{"family":"Vergesslich‐Rothschild","given":"Klara"},{"family":"Huber","given":"Wolf‐Dietrich"},{"family":"Anderson","given":"Alison"},{"family":"Wong","given":"Kingsley"},{"family":"Baikie","given":"Gordon"},{"family":"Ravikumara","given":"Madhur"},{"family":"Downs","given":"Jenny"},{"family":"Leonard","given":"Helen"}],"issued":{"date-parts":[["2014",8]]}}}],"schema":"https://github.com/citation-style-language/schema/raw/master/csl-citation.json"} </w:instrText>
            </w:r>
            <w:r w:rsidR="003565B2" w:rsidRPr="009B66A4">
              <w:rPr>
                <w:rFonts w:ascii="Calibri" w:eastAsia="Times New Roman" w:hAnsi="Calibri" w:cs="Calibri"/>
                <w:kern w:val="0"/>
                <w:sz w:val="20"/>
                <w:szCs w:val="20"/>
                <w14:ligatures w14:val="none"/>
              </w:rPr>
              <w:fldChar w:fldCharType="separate"/>
            </w:r>
            <w:r w:rsidR="00166D52" w:rsidRPr="009B66A4">
              <w:rPr>
                <w:rFonts w:ascii="Calibri" w:hAnsi="Calibri" w:cs="Calibri"/>
                <w:sz w:val="20"/>
                <w:szCs w:val="20"/>
              </w:rPr>
              <w:t>[99]</w:t>
            </w:r>
            <w:r w:rsidR="003565B2"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F1192D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Multiple countries</w:t>
            </w:r>
          </w:p>
        </w:tc>
        <w:tc>
          <w:tcPr>
            <w:tcW w:w="1316" w:type="dxa"/>
            <w:noWrap/>
            <w:vAlign w:val="center"/>
            <w:hideMark/>
          </w:tcPr>
          <w:p w14:paraId="303C13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0BB6D9F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0D3BD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60D64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ACBE3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1019</w:t>
            </w:r>
          </w:p>
        </w:tc>
        <w:tc>
          <w:tcPr>
            <w:tcW w:w="1682" w:type="dxa"/>
            <w:noWrap/>
            <w:vAlign w:val="center"/>
            <w:hideMark/>
          </w:tcPr>
          <w:p w14:paraId="5AE6CB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3276C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A7FD8D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15AECDA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1019 (100%)</w:t>
            </w:r>
          </w:p>
        </w:tc>
        <w:tc>
          <w:tcPr>
            <w:tcW w:w="1438" w:type="dxa"/>
            <w:noWrap/>
            <w:vAlign w:val="center"/>
            <w:hideMark/>
          </w:tcPr>
          <w:p w14:paraId="6E1565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723954C" w14:textId="77777777" w:rsidTr="00A3759F">
        <w:trPr>
          <w:trHeight w:val="20"/>
        </w:trPr>
        <w:tc>
          <w:tcPr>
            <w:tcW w:w="1444" w:type="dxa"/>
            <w:noWrap/>
            <w:vAlign w:val="center"/>
            <w:hideMark/>
          </w:tcPr>
          <w:p w14:paraId="3C929EAB" w14:textId="060A721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Motil, 2014</w:t>
            </w:r>
            <w:r w:rsidR="00166D52" w:rsidRPr="009B66A4">
              <w:rPr>
                <w:rFonts w:ascii="Calibri" w:eastAsia="Times New Roman" w:hAnsi="Calibri" w:cs="Calibri"/>
                <w:kern w:val="0"/>
                <w:sz w:val="20"/>
                <w:szCs w:val="20"/>
                <w14:ligatures w14:val="none"/>
              </w:rPr>
              <w:fldChar w:fldCharType="begin"/>
            </w:r>
            <w:r w:rsidR="00F3326E" w:rsidRPr="009B66A4">
              <w:rPr>
                <w:rFonts w:ascii="Calibri" w:eastAsia="Times New Roman" w:hAnsi="Calibri" w:cs="Calibri"/>
                <w:kern w:val="0"/>
                <w:sz w:val="20"/>
                <w:szCs w:val="20"/>
                <w14:ligatures w14:val="none"/>
              </w:rPr>
              <w:instrText xml:space="preserve"> ADDIN ZOTERO_ITEM CSL_CITATION {"citationID":"9OOhXutL","properties":{"formattedCitation":"[100]","plainCitation":"[100]","noteIndex":0},"citationItems":[{"id":3460,"uris":["http://zotero.org/users/11896629/items/3DXKGSJU"],"itemData":{"id":3460,"type":"article-journal","abstract":"ABSTRACT\n            \n              Objective:\n              The aim of the present study was to characterize biomarkers of bone turnover and their relation with bone mineral mass in a cross‐sectional cohort of girls with Rett syndrome (RTT) and to examine the role of dietary, biochemical, hormonal, and inflammatory factors on bone mineral mass and bone biomarkers in this disorder.\n            \n            \n              Methods:\n              Total body bone mineral content (BMC) and bone mineral density (BMD) were determined by dual‐energy x‐ray absorptiometry. Dietary nutrient intakes were determined from 3‐day food records. Biomarkers of bone turnover, bone metabolites, vitamin D metabolites, hormones, and inflammatory markers were measured by standard clinical laboratory methods.\n            \n            \n              Results:\n              \n                Serum osteocalcin, bone alkaline phosphatase, and C‐telopeptide showed significant inverse relations with age in the RTT cohort. Mean osteocalcin concentrations were significantly lower and mean bone alkaline phosphatase concentrations were significantly higher for individual age groups in the RTT cohort than mean values for their respective age ranges in the reference population. Significant inverse associations were identified between urinary calcium losses, expressed as calcium:creatinine ratios, and total body BMC and BMD\n                z\n                scores. Dietary protein, calcium, and phosphorus intakes, expressed as a proportion of Dietary Reference Intakes for age and sex, showed significant positive associations with total body BMD\n                z\n                scores.\n              \n            \n            \n              Conclusions:\n              The present study suggests decreased bone formation instead of increased bone resorption may explain in part the deficits in bone mineral mass in RTT and that attention to the adequacy of dietary protein, calcium, and phosphorus intakes may offer an opportunity to improve bone health in RTT.","container-title":"Journal of Pediatric Gastroenterology and Nutrition","DOI":"10.1097/MPG.0000000000000440","ISSN":"0277-2116, 1536-4801","issue":"3","journalAbbreviation":"J. pediatr. gastroenterol. nutr.","language":"en","license":"http://onlinelibrary.wiley.com/termsAndConditions#vor","page":"386-392","source":"DOI.org (Crossref)","title":"Low Bone Mineral Mass Is Associated With Decreased Bone Formation and Diet in Girls With Rett Syndrome","volume":"59","author":[{"family":"Motil","given":"Kathleen J."},{"family":"Barrish","given":"Judy O."},{"family":"Neul","given":"Jeffrey L."},{"family":"Glaze","given":"Daniel G."}],"issued":{"date-parts":[["2014",9]]}}}],"schema":"https://github.com/citation-style-language/schema/raw/master/csl-citation.json"} </w:instrText>
            </w:r>
            <w:r w:rsidR="00166D52" w:rsidRPr="009B66A4">
              <w:rPr>
                <w:rFonts w:ascii="Calibri" w:eastAsia="Times New Roman" w:hAnsi="Calibri" w:cs="Calibri"/>
                <w:kern w:val="0"/>
                <w:sz w:val="20"/>
                <w:szCs w:val="20"/>
                <w14:ligatures w14:val="none"/>
              </w:rPr>
              <w:fldChar w:fldCharType="separate"/>
            </w:r>
            <w:r w:rsidR="00F3326E" w:rsidRPr="009B66A4">
              <w:rPr>
                <w:rFonts w:ascii="Calibri" w:hAnsi="Calibri" w:cs="Calibri"/>
                <w:sz w:val="20"/>
                <w:szCs w:val="20"/>
              </w:rPr>
              <w:t>[100]</w:t>
            </w:r>
            <w:r w:rsidR="00166D52"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FDDE0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5E05509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0CF28FD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50843DA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C3D61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9D5D3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w:t>
            </w:r>
          </w:p>
        </w:tc>
        <w:tc>
          <w:tcPr>
            <w:tcW w:w="1682" w:type="dxa"/>
            <w:noWrap/>
            <w:vAlign w:val="center"/>
            <w:hideMark/>
          </w:tcPr>
          <w:p w14:paraId="7B2809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15.5 (9.7)</w:t>
            </w:r>
          </w:p>
        </w:tc>
        <w:tc>
          <w:tcPr>
            <w:tcW w:w="1394" w:type="dxa"/>
            <w:noWrap/>
            <w:vAlign w:val="center"/>
            <w:hideMark/>
          </w:tcPr>
          <w:p w14:paraId="49EFC4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E5677C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 (100%)</w:t>
            </w:r>
          </w:p>
        </w:tc>
        <w:tc>
          <w:tcPr>
            <w:tcW w:w="1394" w:type="dxa"/>
            <w:noWrap/>
            <w:vAlign w:val="center"/>
            <w:hideMark/>
          </w:tcPr>
          <w:p w14:paraId="263ED9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542053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E45D843" w14:textId="77777777" w:rsidTr="00A3759F">
        <w:trPr>
          <w:trHeight w:val="493"/>
        </w:trPr>
        <w:tc>
          <w:tcPr>
            <w:tcW w:w="1444" w:type="dxa"/>
            <w:noWrap/>
            <w:vAlign w:val="center"/>
            <w:hideMark/>
          </w:tcPr>
          <w:p w14:paraId="2B238E67" w14:textId="0E0D21F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Khwaja, 2014</w:t>
            </w:r>
            <w:r w:rsidR="00F3326E" w:rsidRPr="009B66A4">
              <w:rPr>
                <w:rFonts w:ascii="Calibri" w:eastAsia="Times New Roman" w:hAnsi="Calibri" w:cs="Calibri"/>
                <w:kern w:val="0"/>
                <w:sz w:val="20"/>
                <w:szCs w:val="20"/>
                <w14:ligatures w14:val="none"/>
              </w:rPr>
              <w:fldChar w:fldCharType="begin"/>
            </w:r>
            <w:r w:rsidR="00F3326E" w:rsidRPr="009B66A4">
              <w:rPr>
                <w:rFonts w:ascii="Calibri" w:eastAsia="Times New Roman" w:hAnsi="Calibri" w:cs="Calibri"/>
                <w:kern w:val="0"/>
                <w:sz w:val="20"/>
                <w:szCs w:val="20"/>
                <w14:ligatures w14:val="none"/>
              </w:rPr>
              <w:instrText xml:space="preserve"> ADDIN ZOTERO_ITEM CSL_CITATION {"citationID":"1m9gtUuX","properties":{"formattedCitation":"[101]","plainCitation":"[101]","noteIndex":0},"citationItems":[{"id":3311,"uris":["http://zotero.org/users/11896629/items/BWQKUWU7"],"itemData":{"id":3311,"type":"article-journal","abstract":"Significance\n            This paper provides unique insights into mechanism-based therapeutics for Rett syndrome (RTT), a devastating neurodevelopmental disorder. This clinical trial was based on pioneer preclinical work from the laboratory of M.S. Outcome measures include clinical instruments, standardized behavioral measures, and biomarkers, the latter being not only objective but also applicable to experimental studies. We believe this work will a have major impact on the understanding and treatment of RTT, as well as other neurodevelopmental disorders.\n          , \n            \n              Rett syndrome (RTT) is a severe X-linked neurodevelopmental disorder mainly affecting females and is associated with mutations in\n              MECP2\n              , the gene encoding methyl CpG-binding protein 2. Mouse models suggest that recombinant human insulin-like growth factor 1 (IGF-1) (rhIGF1) (mecasermin) may improve many clinical features. We evaluated the safety, tolerability, and pharmacokinetic profiles of IGF-1 in 12 girls with\n              MECP2\n              mutations (9 with RTT). In addition, we performed a preliminary assessment of efficacy using automated cardiorespiratory measures, EEG, a set of RTT-oriented clinical assessments, and two standardized behavioral questionnaires. This phase 1 trial included a 4-wk multiple ascending dose (MAD) (40–120 μg/kg twice daily) period and a 20-wk open-label extension (OLE) at the maximum dose. Twelve subjects completed the MAD and 10 the entire study, without evidence of hypoglycemia or serious adverse events. Mecasermin reached the CNS compartment as evidenced by the increase in cerebrospinal fluid IGF-1 levels at the end of the MAD. The drug followed nonlinear kinetics, with greater distribution in the peripheral compartment. Cardiorespiratory measures showed that apnea improved during the OLE. Some neurobehavioral parameters, specifically measures of anxiety and mood also improved during the OLE. These improvements in mood and anxiety scores were supported by reversal of right frontal alpha band asymmetry on EEG, an index of anxiety and depression. Our data indicate that IGF-1 is safe and well tolerated in girls with RTT and, as demonstrated in preclinical studies, ameliorates certain breathing and behavioral abnormalities.","container-title":"Proceedings of the National Academy of Sciences","DOI":"10.1073/pnas.1311141111","ISSN":"0027-8424, 1091-6490","issue":"12","journalAbbreviation":"Proc. Natl. Acad. Sci. U.S.A.","language":"en","page":"4596-4601","source":"DOI.org (Crossref)","title":"Safety, pharmacokinetics, and preliminary assessment of efficacy of mecasermin (recombinant human IGF-1) for the treatment of Rett syndrome","volume":"111","author":[{"family":"Khwaja","given":"Omar S."},{"family":"Ho","given":"Eugenia"},{"family":"Barnes","given":"Katherine V."},{"family":"O’Leary","given":"Heather M."},{"family":"Pereira","given":"Luis M."},{"family":"Finkelstein","given":"Yaron"},{"family":"Nelson","given":"Charles A."},{"family":"Vogel-Farley","given":"Vanessa"},{"family":"DeGregorio","given":"Geneva"},{"family":"Holm","given":"Ingrid A."},{"family":"Khatwa","given":"Umakanth"},{"family":"Kapur","given":"Kush"},{"family":"Alexander","given":"Mark E."},{"family":"Finnegan","given":"Deirdre M."},{"family":"Cantwell","given":"Nicole G."},{"family":"Walco","given":"Alexandra C."},{"family":"Rappaport","given":"Leonard"},{"family":"Gregas","given":"Matt"},{"family":"Fichorova","given":"Raina N."},{"family":"Shannon","given":"Michael W."},{"family":"Sur","given":"Mriganka"},{"family":"Kaufmann","given":"Walter E."}],"issued":{"date-parts":[["2014",3,25]]}}}],"schema":"https://github.com/citation-style-language/schema/raw/master/csl-citation.json"} </w:instrText>
            </w:r>
            <w:r w:rsidR="00F3326E" w:rsidRPr="009B66A4">
              <w:rPr>
                <w:rFonts w:ascii="Calibri" w:eastAsia="Times New Roman" w:hAnsi="Calibri" w:cs="Calibri"/>
                <w:kern w:val="0"/>
                <w:sz w:val="20"/>
                <w:szCs w:val="20"/>
                <w14:ligatures w14:val="none"/>
              </w:rPr>
              <w:fldChar w:fldCharType="separate"/>
            </w:r>
            <w:r w:rsidR="00F3326E" w:rsidRPr="009B66A4">
              <w:rPr>
                <w:rFonts w:ascii="Calibri" w:hAnsi="Calibri" w:cs="Calibri"/>
                <w:sz w:val="20"/>
                <w:szCs w:val="20"/>
              </w:rPr>
              <w:t>[101]</w:t>
            </w:r>
            <w:r w:rsidR="00F3326E" w:rsidRPr="009B66A4">
              <w:rPr>
                <w:rFonts w:ascii="Calibri" w:eastAsia="Times New Roman" w:hAnsi="Calibri" w:cs="Calibri"/>
                <w:kern w:val="0"/>
                <w:sz w:val="20"/>
                <w:szCs w:val="20"/>
                <w14:ligatures w14:val="none"/>
              </w:rPr>
              <w:fldChar w:fldCharType="end"/>
            </w:r>
          </w:p>
        </w:tc>
        <w:tc>
          <w:tcPr>
            <w:tcW w:w="1194" w:type="dxa"/>
            <w:vAlign w:val="center"/>
            <w:hideMark/>
          </w:tcPr>
          <w:p w14:paraId="0E1AE0C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Align w:val="center"/>
            <w:hideMark/>
          </w:tcPr>
          <w:p w14:paraId="382D361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hideMark/>
          </w:tcPr>
          <w:p w14:paraId="397FD78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87B6B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1E8F4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510A57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w:t>
            </w:r>
          </w:p>
        </w:tc>
        <w:tc>
          <w:tcPr>
            <w:tcW w:w="1682" w:type="dxa"/>
            <w:vAlign w:val="center"/>
            <w:hideMark/>
          </w:tcPr>
          <w:p w14:paraId="14C458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Range: 2 – 10</w:t>
            </w:r>
          </w:p>
        </w:tc>
        <w:tc>
          <w:tcPr>
            <w:tcW w:w="1394" w:type="dxa"/>
            <w:vAlign w:val="center"/>
            <w:hideMark/>
          </w:tcPr>
          <w:p w14:paraId="4B89C8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7FD1211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 (100%)</w:t>
            </w:r>
          </w:p>
        </w:tc>
        <w:tc>
          <w:tcPr>
            <w:tcW w:w="1394" w:type="dxa"/>
            <w:vAlign w:val="center"/>
            <w:hideMark/>
          </w:tcPr>
          <w:p w14:paraId="14EF58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 (100%)</w:t>
            </w:r>
          </w:p>
        </w:tc>
        <w:tc>
          <w:tcPr>
            <w:tcW w:w="1438" w:type="dxa"/>
            <w:noWrap/>
            <w:vAlign w:val="center"/>
            <w:hideMark/>
          </w:tcPr>
          <w:p w14:paraId="3D2DBA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BCB43D6" w14:textId="77777777" w:rsidTr="00A3759F">
        <w:trPr>
          <w:trHeight w:val="20"/>
        </w:trPr>
        <w:tc>
          <w:tcPr>
            <w:tcW w:w="1444" w:type="dxa"/>
            <w:noWrap/>
            <w:vAlign w:val="center"/>
            <w:hideMark/>
          </w:tcPr>
          <w:p w14:paraId="78864DA4" w14:textId="065FAF8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Isaias, 2014</w:t>
            </w:r>
            <w:r w:rsidR="00F3326E" w:rsidRPr="009B66A4">
              <w:rPr>
                <w:rFonts w:ascii="Calibri" w:eastAsia="Times New Roman" w:hAnsi="Calibri" w:cs="Calibri"/>
                <w:kern w:val="0"/>
                <w:sz w:val="20"/>
                <w:szCs w:val="20"/>
                <w14:ligatures w14:val="none"/>
              </w:rPr>
              <w:fldChar w:fldCharType="begin"/>
            </w:r>
            <w:r w:rsidR="00F3326E" w:rsidRPr="009B66A4">
              <w:rPr>
                <w:rFonts w:ascii="Calibri" w:eastAsia="Times New Roman" w:hAnsi="Calibri" w:cs="Calibri"/>
                <w:kern w:val="0"/>
                <w:sz w:val="20"/>
                <w:szCs w:val="20"/>
                <w14:ligatures w14:val="none"/>
              </w:rPr>
              <w:instrText xml:space="preserve"> ADDIN ZOTERO_ITEM CSL_CITATION {"citationID":"tmTYVjHV","properties":{"formattedCitation":"[102]","plainCitation":"[102]","noteIndex":0},"citationItems":[{"id":2907,"uris":["http://zotero.org/users/11896629/items/WT7DE4QA"],"itemData":{"id":2907,"type":"article-journal","container-title":"PLoS ONE","DOI":"10.1371/journal.pone.0092736","ISSN":"1932-6203","issue":"4","journalAbbreviation":"PLoS ONE","language":"en","page":"e92736","source":"DOI.org (Crossref)","title":"Gait Initiation in Children with Rett Syndrome","volume":"9","author":[{"family":"Isaias","given":"Ioannis Ugo"},{"family":"Dipaola","given":"Mariangela"},{"family":"Michi","given":"Marlies"},{"family":"Marzegan","given":"Alberto"},{"family":"Volkmann","given":"Jens"},{"family":"Rodocanachi Roidi","given":"Marina L."},{"family":"Frigo","given":"Carlo Albino"},{"family":"Cavallari","given":"Paolo"}],"editor":[{"family":"Muotri","given":"Alysson Renato"}],"issued":{"date-parts":[["2014",4,17]]}}}],"schema":"https://github.com/citation-style-language/schema/raw/master/csl-citation.json"} </w:instrText>
            </w:r>
            <w:r w:rsidR="00F3326E" w:rsidRPr="009B66A4">
              <w:rPr>
                <w:rFonts w:ascii="Calibri" w:eastAsia="Times New Roman" w:hAnsi="Calibri" w:cs="Calibri"/>
                <w:kern w:val="0"/>
                <w:sz w:val="20"/>
                <w:szCs w:val="20"/>
                <w14:ligatures w14:val="none"/>
              </w:rPr>
              <w:fldChar w:fldCharType="separate"/>
            </w:r>
            <w:r w:rsidR="00F3326E" w:rsidRPr="009B66A4">
              <w:rPr>
                <w:rFonts w:ascii="Calibri" w:hAnsi="Calibri" w:cs="Calibri"/>
                <w:sz w:val="20"/>
                <w:szCs w:val="20"/>
              </w:rPr>
              <w:t>[102]</w:t>
            </w:r>
            <w:r w:rsidR="00F3326E" w:rsidRPr="009B66A4">
              <w:rPr>
                <w:rFonts w:ascii="Calibri" w:eastAsia="Times New Roman" w:hAnsi="Calibri" w:cs="Calibri"/>
                <w:kern w:val="0"/>
                <w:sz w:val="20"/>
                <w:szCs w:val="20"/>
                <w14:ligatures w14:val="none"/>
              </w:rPr>
              <w:fldChar w:fldCharType="end"/>
            </w:r>
          </w:p>
        </w:tc>
        <w:tc>
          <w:tcPr>
            <w:tcW w:w="1194" w:type="dxa"/>
            <w:vAlign w:val="center"/>
            <w:hideMark/>
          </w:tcPr>
          <w:p w14:paraId="535D7B7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Align w:val="center"/>
            <w:hideMark/>
          </w:tcPr>
          <w:p w14:paraId="4456A4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4AE6312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BF8DC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5365FB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6203CA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w:t>
            </w:r>
          </w:p>
        </w:tc>
        <w:tc>
          <w:tcPr>
            <w:tcW w:w="1682" w:type="dxa"/>
            <w:vAlign w:val="center"/>
            <w:hideMark/>
          </w:tcPr>
          <w:p w14:paraId="4686E41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 (3)</w:t>
            </w:r>
          </w:p>
        </w:tc>
        <w:tc>
          <w:tcPr>
            <w:tcW w:w="1394" w:type="dxa"/>
            <w:noWrap/>
            <w:vAlign w:val="center"/>
            <w:hideMark/>
          </w:tcPr>
          <w:p w14:paraId="3FE968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85DB2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3DA550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 (100%)</w:t>
            </w:r>
          </w:p>
        </w:tc>
        <w:tc>
          <w:tcPr>
            <w:tcW w:w="1438" w:type="dxa"/>
            <w:vAlign w:val="center"/>
            <w:hideMark/>
          </w:tcPr>
          <w:p w14:paraId="0A0E908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8CC585B" w14:textId="77777777" w:rsidTr="00A3759F">
        <w:trPr>
          <w:trHeight w:val="20"/>
        </w:trPr>
        <w:tc>
          <w:tcPr>
            <w:tcW w:w="1444" w:type="dxa"/>
            <w:noWrap/>
            <w:vAlign w:val="center"/>
            <w:hideMark/>
          </w:tcPr>
          <w:p w14:paraId="6FF65CCE" w14:textId="51F70D1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Byiers, 201</w:t>
            </w:r>
            <w:r w:rsidR="00F3326E" w:rsidRPr="009B66A4">
              <w:rPr>
                <w:rFonts w:ascii="Calibri" w:eastAsia="Times New Roman" w:hAnsi="Calibri" w:cs="Calibri"/>
                <w:kern w:val="0"/>
                <w:sz w:val="20"/>
                <w:szCs w:val="20"/>
                <w14:ligatures w14:val="none"/>
              </w:rPr>
              <w:t>4</w:t>
            </w:r>
            <w:r w:rsidR="00F3326E" w:rsidRPr="009B66A4">
              <w:rPr>
                <w:rFonts w:ascii="Calibri" w:eastAsia="Times New Roman" w:hAnsi="Calibri" w:cs="Calibri"/>
                <w:kern w:val="0"/>
                <w:sz w:val="20"/>
                <w:szCs w:val="20"/>
                <w14:ligatures w14:val="none"/>
              </w:rPr>
              <w:fldChar w:fldCharType="begin"/>
            </w:r>
            <w:r w:rsidR="001544EF" w:rsidRPr="009B66A4">
              <w:rPr>
                <w:rFonts w:ascii="Calibri" w:eastAsia="Times New Roman" w:hAnsi="Calibri" w:cs="Calibri"/>
                <w:kern w:val="0"/>
                <w:sz w:val="20"/>
                <w:szCs w:val="20"/>
                <w14:ligatures w14:val="none"/>
              </w:rPr>
              <w:instrText xml:space="preserve"> ADDIN ZOTERO_ITEM CSL_CITATION {"citationID":"r222Yiqp","properties":{"formattedCitation":"[103]","plainCitation":"[103]","noteIndex":0},"citationItems":[{"id":3462,"uris":["http://zotero.org/users/11896629/items/MEHLNS8P"],"itemData":{"id":3462,"type":"article-journal","abstract":"Data were collected parenting stress, adaptive behavior, pain, and health issues from the caregivers of 35 girls and women with Rett syndrome (mean age = 20.3). A majority (60%) of parents reported stress in the clinical range on at least 1 subscale of the Parenting Stress Index–Short Form. Seizures and uncertainty about their daughter’s gastrointestinal pain experience were significantly associated with higher levels of parenting stress. No other child factors (adaptive behavior, age, residential status) were significantly related to parenting stress. Factors related to chronic health concerns (seizures, ambiguous pain presentation) may be important when considering family stress issues in relation to general outcomes for girls with Rett syndrome and related developmental disorders.","container-title":"Journal of Child Neurology","DOI":"10.1177/0883073812470736","ISSN":"0883-0738, 1708-8283","issue":"4","journalAbbreviation":"J Child Neurol","language":"en","page":"526-529","source":"DOI.org (Crossref)","title":"Seizures and Pain Uncertainty Associated With Parenting Stress and Rett Syndrome","volume":"29","author":[{"family":"Byiers","given":"Breanne J."},{"family":"Tervo","given":"Raymond C."},{"family":"Feyma","given":"Timothy J."},{"family":"Symons","given":"Frank J."}],"issued":{"date-parts":[["2014",4]]}}}],"schema":"https://github.com/citation-style-language/schema/raw/master/csl-citation.json"} </w:instrText>
            </w:r>
            <w:r w:rsidR="00F3326E" w:rsidRPr="009B66A4">
              <w:rPr>
                <w:rFonts w:ascii="Calibri" w:eastAsia="Times New Roman" w:hAnsi="Calibri" w:cs="Calibri"/>
                <w:kern w:val="0"/>
                <w:sz w:val="20"/>
                <w:szCs w:val="20"/>
                <w14:ligatures w14:val="none"/>
              </w:rPr>
              <w:fldChar w:fldCharType="separate"/>
            </w:r>
            <w:r w:rsidR="001544EF" w:rsidRPr="009B66A4">
              <w:rPr>
                <w:rFonts w:ascii="Calibri" w:hAnsi="Calibri" w:cs="Calibri"/>
                <w:sz w:val="20"/>
                <w:szCs w:val="20"/>
              </w:rPr>
              <w:t>[103]</w:t>
            </w:r>
            <w:r w:rsidR="00F3326E" w:rsidRPr="009B66A4">
              <w:rPr>
                <w:rFonts w:ascii="Calibri" w:eastAsia="Times New Roman" w:hAnsi="Calibri" w:cs="Calibri"/>
                <w:kern w:val="0"/>
                <w:sz w:val="20"/>
                <w:szCs w:val="20"/>
                <w14:ligatures w14:val="none"/>
              </w:rPr>
              <w:fldChar w:fldCharType="end"/>
            </w:r>
          </w:p>
        </w:tc>
        <w:tc>
          <w:tcPr>
            <w:tcW w:w="1194" w:type="dxa"/>
            <w:vAlign w:val="center"/>
            <w:hideMark/>
          </w:tcPr>
          <w:p w14:paraId="595332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Align w:val="center"/>
            <w:hideMark/>
          </w:tcPr>
          <w:p w14:paraId="67C97A8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76EE13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3C3CA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93FA5C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19C769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44</w:t>
            </w:r>
          </w:p>
        </w:tc>
        <w:tc>
          <w:tcPr>
            <w:tcW w:w="1682" w:type="dxa"/>
            <w:vAlign w:val="center"/>
            <w:hideMark/>
          </w:tcPr>
          <w:p w14:paraId="12190C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20.3</w:t>
            </w:r>
          </w:p>
        </w:tc>
        <w:tc>
          <w:tcPr>
            <w:tcW w:w="1394" w:type="dxa"/>
            <w:vAlign w:val="center"/>
            <w:hideMark/>
          </w:tcPr>
          <w:p w14:paraId="660ED6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6240DA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35 (100%)</w:t>
            </w:r>
          </w:p>
        </w:tc>
        <w:tc>
          <w:tcPr>
            <w:tcW w:w="1394" w:type="dxa"/>
            <w:noWrap/>
            <w:vAlign w:val="center"/>
            <w:hideMark/>
          </w:tcPr>
          <w:p w14:paraId="6D08BB9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0310DB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EA6556D" w14:textId="77777777" w:rsidTr="00A3759F">
        <w:trPr>
          <w:trHeight w:val="20"/>
        </w:trPr>
        <w:tc>
          <w:tcPr>
            <w:tcW w:w="1444" w:type="dxa"/>
            <w:noWrap/>
            <w:vAlign w:val="center"/>
            <w:hideMark/>
          </w:tcPr>
          <w:p w14:paraId="12666697" w14:textId="508C2F0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2014</w:t>
            </w:r>
            <w:r w:rsidR="000813F3" w:rsidRPr="009B66A4">
              <w:rPr>
                <w:rFonts w:ascii="Calibri" w:eastAsia="Times New Roman" w:hAnsi="Calibri" w:cs="Calibri"/>
                <w:kern w:val="0"/>
                <w:sz w:val="20"/>
                <w:szCs w:val="20"/>
                <w14:ligatures w14:val="none"/>
              </w:rPr>
              <w:fldChar w:fldCharType="begin"/>
            </w:r>
            <w:r w:rsidR="0078308A" w:rsidRPr="009B66A4">
              <w:rPr>
                <w:rFonts w:ascii="Calibri" w:eastAsia="Times New Roman" w:hAnsi="Calibri" w:cs="Calibri"/>
                <w:kern w:val="0"/>
                <w:sz w:val="20"/>
                <w:szCs w:val="20"/>
                <w14:ligatures w14:val="none"/>
              </w:rPr>
              <w:instrText xml:space="preserve"> ADDIN ZOTERO_ITEM CSL_CITATION {"citationID":"qxnEI8tB","properties":{"formattedCitation":"[104]","plainCitation":"[104]","noteIndex":0},"citationItems":[{"id":3464,"uris":["http://zotero.org/users/11896629/items/PJE8YSA6"],"itemData":{"id":3464,"type":"article-journal","container-title":"Medicine","DOI":"10.1097/MD.0000000000000328","ISSN":"0025-7974","issue":"28","language":"en","page":"e328","source":"DOI.org (Crossref)","title":"Experience of Gastrostomy Using a Quality Care Framework: The Example of Rett Syndrome","title-short":"Experience of Gastrostomy Using a Quality Care Framework","volume":"93","author":[{"family":"Downs","given":"Jenny"},{"family":"Wong","given":"Kingsley"},{"family":"Ravikumara","given":"Madhur"},{"family":"Ellaway","given":"Carolyn"},{"family":"Elliott","given":"Elizabeth J."},{"family":"Christodoulou","given":"John"},{"family":"Jacoby","given":"Peter"},{"family":"Leonard","given":"Helen"}],"issued":{"date-parts":[["2014",12]]}}}],"schema":"https://github.com/citation-style-language/schema/raw/master/csl-citation.json"} </w:instrText>
            </w:r>
            <w:r w:rsidR="000813F3" w:rsidRPr="009B66A4">
              <w:rPr>
                <w:rFonts w:ascii="Calibri" w:eastAsia="Times New Roman" w:hAnsi="Calibri" w:cs="Calibri"/>
                <w:kern w:val="0"/>
                <w:sz w:val="20"/>
                <w:szCs w:val="20"/>
                <w14:ligatures w14:val="none"/>
              </w:rPr>
              <w:fldChar w:fldCharType="separate"/>
            </w:r>
            <w:r w:rsidR="0078308A" w:rsidRPr="009B66A4">
              <w:rPr>
                <w:rFonts w:ascii="Calibri" w:hAnsi="Calibri" w:cs="Calibri"/>
                <w:sz w:val="20"/>
                <w:szCs w:val="20"/>
              </w:rPr>
              <w:t>[104]</w:t>
            </w:r>
            <w:r w:rsidR="000813F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D7A7C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5F179A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279459E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148A71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B3FDAF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3BC081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229</w:t>
            </w:r>
          </w:p>
        </w:tc>
        <w:tc>
          <w:tcPr>
            <w:tcW w:w="1682" w:type="dxa"/>
            <w:vAlign w:val="center"/>
            <w:hideMark/>
          </w:tcPr>
          <w:p w14:paraId="633C0C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17 years and 11 months (Range: 2 years 8 and months to 35 years and 9 months)</w:t>
            </w:r>
          </w:p>
        </w:tc>
        <w:tc>
          <w:tcPr>
            <w:tcW w:w="1394" w:type="dxa"/>
            <w:vAlign w:val="center"/>
            <w:hideMark/>
          </w:tcPr>
          <w:p w14:paraId="11AD54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418407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229 (100%)</w:t>
            </w:r>
          </w:p>
        </w:tc>
        <w:tc>
          <w:tcPr>
            <w:tcW w:w="1394" w:type="dxa"/>
            <w:vAlign w:val="center"/>
            <w:hideMark/>
          </w:tcPr>
          <w:p w14:paraId="0121F8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195 (85.15%)</w:t>
            </w:r>
          </w:p>
        </w:tc>
        <w:tc>
          <w:tcPr>
            <w:tcW w:w="1438" w:type="dxa"/>
            <w:vAlign w:val="center"/>
            <w:hideMark/>
          </w:tcPr>
          <w:p w14:paraId="0F56592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820A57F" w14:textId="77777777" w:rsidTr="00802DC2">
        <w:trPr>
          <w:trHeight w:val="530"/>
        </w:trPr>
        <w:tc>
          <w:tcPr>
            <w:tcW w:w="1444" w:type="dxa"/>
            <w:vMerge w:val="restart"/>
            <w:noWrap/>
            <w:vAlign w:val="center"/>
            <w:hideMark/>
          </w:tcPr>
          <w:p w14:paraId="4E282767" w14:textId="14EBCFD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Neul, 2014</w:t>
            </w:r>
            <w:r w:rsidR="0078308A" w:rsidRPr="009B66A4">
              <w:rPr>
                <w:rFonts w:ascii="Calibri" w:eastAsia="Times New Roman" w:hAnsi="Calibri" w:cs="Calibri"/>
                <w:kern w:val="0"/>
                <w:sz w:val="20"/>
                <w:szCs w:val="20"/>
                <w14:ligatures w14:val="none"/>
              </w:rPr>
              <w:fldChar w:fldCharType="begin"/>
            </w:r>
            <w:r w:rsidR="002923ED" w:rsidRPr="009B66A4">
              <w:rPr>
                <w:rFonts w:ascii="Calibri" w:eastAsia="Times New Roman" w:hAnsi="Calibri" w:cs="Calibri"/>
                <w:kern w:val="0"/>
                <w:sz w:val="20"/>
                <w:szCs w:val="20"/>
                <w14:ligatures w14:val="none"/>
              </w:rPr>
              <w:instrText xml:space="preserve"> ADDIN ZOTERO_ITEM CSL_CITATION {"citationID":"K5TZbwoo","properties":{"formattedCitation":"[105]","plainCitation":"[105]","noteIndex":0},"citationItems":[{"id":3466,"uris":["http://zotero.org/users/11896629/items/FMZHR5NA"],"itemData":{"id":3466,"type":"article-journal","container-title":"Journal of Neurodevelopmental Disorders","DOI":"10.1186/1866-1955-6-20","ISSN":"1866-1947, 1866-1955","issue":"1","journalAbbreviation":"J Neurodevelop Disord","language":"en","page":"20","source":"DOI.org (Crossref)","title":"Developmental delay in Rett syndrome: data from the natural history study","title-short":"Developmental delay in Rett syndrome","volume":"6","author":[{"family":"Neul","given":"Jeffrey L"},{"family":"Lane","given":"Jane B"},{"family":"Lee","given":"Hye-Seung"},{"family":"Geerts","given":"Suzanne"},{"family":"Barrish","given":"Judy O"},{"family":"Annese","given":"Fran"},{"family":"Baggett","given":"Lauren McNair"},{"family":"Barnes","given":"Katherine"},{"family":"Skinner","given":"Steven A"},{"family":"Motil","given":"Kathleen J"},{"family":"Glaze","given":"Daniel G"},{"family":"Kaufmann","given":"Walter E"},{"family":"Percy","given":"Alan K"}],"issued":{"date-parts":[["2014",12]]}},"locator":"201"}],"schema":"https://github.com/citation-style-language/schema/raw/master/csl-citation.json"} </w:instrText>
            </w:r>
            <w:r w:rsidR="0078308A" w:rsidRPr="009B66A4">
              <w:rPr>
                <w:rFonts w:ascii="Calibri" w:eastAsia="Times New Roman" w:hAnsi="Calibri" w:cs="Calibri"/>
                <w:kern w:val="0"/>
                <w:sz w:val="20"/>
                <w:szCs w:val="20"/>
                <w14:ligatures w14:val="none"/>
              </w:rPr>
              <w:fldChar w:fldCharType="separate"/>
            </w:r>
            <w:r w:rsidR="002923ED" w:rsidRPr="009B66A4">
              <w:rPr>
                <w:rFonts w:ascii="Calibri" w:hAnsi="Calibri" w:cs="Calibri"/>
                <w:sz w:val="20"/>
                <w:szCs w:val="20"/>
              </w:rPr>
              <w:t>[105]</w:t>
            </w:r>
            <w:r w:rsidR="0078308A"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757C72C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424B5C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vMerge w:val="restart"/>
            <w:noWrap/>
            <w:hideMark/>
          </w:tcPr>
          <w:p w14:paraId="601E490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04E48C9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4EF1C6F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2C6B746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638</w:t>
            </w:r>
          </w:p>
        </w:tc>
        <w:tc>
          <w:tcPr>
            <w:tcW w:w="1682" w:type="dxa"/>
            <w:vAlign w:val="center"/>
            <w:hideMark/>
          </w:tcPr>
          <w:p w14:paraId="315CAE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w:t>
            </w:r>
          </w:p>
        </w:tc>
        <w:tc>
          <w:tcPr>
            <w:tcW w:w="1394" w:type="dxa"/>
            <w:vMerge w:val="restart"/>
            <w:noWrap/>
            <w:vAlign w:val="center"/>
            <w:hideMark/>
          </w:tcPr>
          <w:p w14:paraId="4B9918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3CF89D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638 (100%)</w:t>
            </w:r>
          </w:p>
          <w:p w14:paraId="056047BF" w14:textId="77777777" w:rsidR="00B158A1" w:rsidRPr="009B66A4" w:rsidRDefault="00B158A1" w:rsidP="00B158A1">
            <w:pPr>
              <w:rPr>
                <w:rFonts w:ascii="Calibri" w:eastAsia="Times New Roman" w:hAnsi="Calibri" w:cs="Calibri"/>
                <w:kern w:val="0"/>
                <w:sz w:val="20"/>
                <w:szCs w:val="20"/>
                <w14:ligatures w14:val="none"/>
              </w:rPr>
            </w:pPr>
          </w:p>
          <w:p w14:paraId="4B411E49" w14:textId="77777777" w:rsidR="00B158A1" w:rsidRPr="009B66A4" w:rsidRDefault="00B158A1" w:rsidP="00B158A1">
            <w:pPr>
              <w:rPr>
                <w:rFonts w:ascii="Calibri" w:eastAsia="Times New Roman" w:hAnsi="Calibri" w:cs="Calibri"/>
                <w:sz w:val="20"/>
                <w:szCs w:val="20"/>
              </w:rPr>
            </w:pPr>
          </w:p>
        </w:tc>
        <w:tc>
          <w:tcPr>
            <w:tcW w:w="1394" w:type="dxa"/>
            <w:vAlign w:val="center"/>
            <w:hideMark/>
          </w:tcPr>
          <w:p w14:paraId="1C33A93E" w14:textId="3C702A2F" w:rsidR="00302A4B"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Classic:</w:t>
            </w:r>
            <w:r w:rsidR="00302A4B" w:rsidRPr="009B66A4">
              <w:rPr>
                <w:rFonts w:ascii="Calibri" w:eastAsia="Times New Roman" w:hAnsi="Calibri" w:cs="Calibri"/>
                <w:kern w:val="0"/>
                <w:sz w:val="20"/>
                <w:szCs w:val="20"/>
                <w14:ligatures w14:val="none"/>
              </w:rPr>
              <w:t xml:space="preserve"> 530 (97.8%)</w:t>
            </w:r>
          </w:p>
        </w:tc>
        <w:tc>
          <w:tcPr>
            <w:tcW w:w="1438" w:type="dxa"/>
            <w:vMerge w:val="restart"/>
            <w:vAlign w:val="center"/>
            <w:hideMark/>
          </w:tcPr>
          <w:p w14:paraId="04F07762" w14:textId="4F454E3C"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21.8 (6.81)</w:t>
            </w:r>
          </w:p>
        </w:tc>
      </w:tr>
      <w:tr w:rsidR="00802DC2" w:rsidRPr="009B66A4" w14:paraId="07CC09F5" w14:textId="77777777" w:rsidTr="00A3759F">
        <w:trPr>
          <w:trHeight w:val="20"/>
        </w:trPr>
        <w:tc>
          <w:tcPr>
            <w:tcW w:w="1444" w:type="dxa"/>
            <w:vMerge/>
            <w:vAlign w:val="center"/>
            <w:hideMark/>
          </w:tcPr>
          <w:p w14:paraId="3779CA23"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64C61C0"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B4EF610"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2F42B28F"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CC8DD42"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0DD077E"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A75306F"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6CCFECFC" w14:textId="77777777" w:rsidR="00802DC2" w:rsidRPr="009B66A4" w:rsidRDefault="00802DC2"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Classical: 4</w:t>
            </w:r>
          </w:p>
        </w:tc>
        <w:tc>
          <w:tcPr>
            <w:tcW w:w="1394" w:type="dxa"/>
            <w:vMerge/>
            <w:vAlign w:val="center"/>
            <w:hideMark/>
          </w:tcPr>
          <w:p w14:paraId="7FC37781"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8CC88BA"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restart"/>
            <w:vAlign w:val="center"/>
            <w:hideMark/>
          </w:tcPr>
          <w:p w14:paraId="12C9B3AB" w14:textId="77777777" w:rsidR="00802DC2" w:rsidRPr="009B66A4" w:rsidRDefault="00802DC2"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83 (86.5%)</w:t>
            </w:r>
          </w:p>
          <w:p w14:paraId="5EFE513B"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p w14:paraId="29A5FA99" w14:textId="5D7F216B" w:rsidR="00802DC2" w:rsidRPr="009B66A4" w:rsidRDefault="00802DC2"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438" w:type="dxa"/>
            <w:vMerge/>
            <w:vAlign w:val="center"/>
            <w:hideMark/>
          </w:tcPr>
          <w:p w14:paraId="5F8B8DCE"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r>
      <w:tr w:rsidR="00802DC2" w:rsidRPr="009B66A4" w14:paraId="16303A4F" w14:textId="77777777" w:rsidTr="00A3759F">
        <w:trPr>
          <w:trHeight w:val="20"/>
        </w:trPr>
        <w:tc>
          <w:tcPr>
            <w:tcW w:w="1444" w:type="dxa"/>
            <w:vMerge/>
            <w:vAlign w:val="center"/>
            <w:hideMark/>
          </w:tcPr>
          <w:p w14:paraId="39A6A19E"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48930B48"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C249DAD"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3C1CB7E"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CA86BDA"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43E642F"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8963EAE"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36EF90B9" w14:textId="1AB49A09" w:rsidR="00802DC2" w:rsidRPr="009B66A4" w:rsidRDefault="00802DC2"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better: 4.5</w:t>
            </w:r>
          </w:p>
        </w:tc>
        <w:tc>
          <w:tcPr>
            <w:tcW w:w="1394" w:type="dxa"/>
            <w:vMerge/>
            <w:vAlign w:val="center"/>
            <w:hideMark/>
          </w:tcPr>
          <w:p w14:paraId="1F8FD842"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C6827A7"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hideMark/>
          </w:tcPr>
          <w:p w14:paraId="72C61D0A" w14:textId="489B8EFF"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554EDB6"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r>
      <w:tr w:rsidR="00802DC2" w:rsidRPr="009B66A4" w14:paraId="26DF7669" w14:textId="77777777" w:rsidTr="00A3759F">
        <w:trPr>
          <w:trHeight w:val="20"/>
        </w:trPr>
        <w:tc>
          <w:tcPr>
            <w:tcW w:w="1444" w:type="dxa"/>
            <w:vMerge/>
            <w:vAlign w:val="center"/>
            <w:hideMark/>
          </w:tcPr>
          <w:p w14:paraId="53399E59"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47C9844"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1AEA640A"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2D0C865C"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548B5023"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F8E2AF3"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C129D1F"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41227704" w14:textId="77777777" w:rsidR="00802DC2" w:rsidRPr="009B66A4" w:rsidRDefault="00802DC2"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Atypical poorer: 3.5</w:t>
            </w:r>
          </w:p>
        </w:tc>
        <w:tc>
          <w:tcPr>
            <w:tcW w:w="1394" w:type="dxa"/>
            <w:vMerge/>
            <w:vAlign w:val="center"/>
            <w:hideMark/>
          </w:tcPr>
          <w:p w14:paraId="623CBC9A"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F1C4C37"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394" w:type="dxa"/>
            <w:vMerge/>
            <w:hideMark/>
          </w:tcPr>
          <w:p w14:paraId="0BA4C5E1" w14:textId="1B199FE5" w:rsidR="00802DC2" w:rsidRPr="009B66A4" w:rsidRDefault="00802DC2"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4B4811CB" w14:textId="77777777" w:rsidR="00802DC2" w:rsidRPr="009B66A4" w:rsidRDefault="00802DC2" w:rsidP="00302A4B">
            <w:pPr>
              <w:spacing w:after="0" w:line="240" w:lineRule="auto"/>
              <w:rPr>
                <w:rFonts w:ascii="Calibri" w:eastAsia="Times New Roman" w:hAnsi="Calibri" w:cs="Calibri"/>
                <w:kern w:val="0"/>
                <w:sz w:val="20"/>
                <w:szCs w:val="20"/>
                <w14:ligatures w14:val="none"/>
              </w:rPr>
            </w:pPr>
          </w:p>
        </w:tc>
      </w:tr>
      <w:tr w:rsidR="00713B5E" w:rsidRPr="009B66A4" w14:paraId="58F6BD1B" w14:textId="77777777" w:rsidTr="00A3759F">
        <w:trPr>
          <w:trHeight w:val="20"/>
        </w:trPr>
        <w:tc>
          <w:tcPr>
            <w:tcW w:w="1444" w:type="dxa"/>
            <w:noWrap/>
            <w:vAlign w:val="center"/>
            <w:hideMark/>
          </w:tcPr>
          <w:p w14:paraId="65CE4F91" w14:textId="03DB023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Sarajlija, 2013</w:t>
            </w:r>
            <w:r w:rsidRPr="009B66A4">
              <w:rPr>
                <w:rFonts w:ascii="Calibri" w:eastAsia="Times New Roman" w:hAnsi="Calibri" w:cs="Calibri"/>
                <w:b/>
                <w:bCs/>
                <w:kern w:val="0"/>
                <w:sz w:val="20"/>
                <w:szCs w:val="20"/>
                <w14:ligatures w14:val="none"/>
              </w:rPr>
              <w:t>a</w:t>
            </w:r>
            <w:r w:rsidR="002923ED" w:rsidRPr="009B66A4">
              <w:rPr>
                <w:rFonts w:ascii="Calibri" w:eastAsia="Times New Roman" w:hAnsi="Calibri" w:cs="Calibri"/>
                <w:b/>
                <w:bCs/>
                <w:kern w:val="0"/>
                <w:sz w:val="20"/>
                <w:szCs w:val="20"/>
                <w14:ligatures w14:val="none"/>
              </w:rPr>
              <w:fldChar w:fldCharType="begin"/>
            </w:r>
            <w:r w:rsidR="00AD3B0F" w:rsidRPr="009B66A4">
              <w:rPr>
                <w:rFonts w:ascii="Calibri" w:eastAsia="Times New Roman" w:hAnsi="Calibri" w:cs="Calibri"/>
                <w:b/>
                <w:bCs/>
                <w:kern w:val="0"/>
                <w:sz w:val="20"/>
                <w:szCs w:val="20"/>
                <w14:ligatures w14:val="none"/>
              </w:rPr>
              <w:instrText xml:space="preserve"> ADDIN ZOTERO_ITEM CSL_CITATION {"citationID":"hq1nDUk6","properties":{"formattedCitation":"[106]","plainCitation":"[106]","noteIndex":0},"citationItems":[{"id":3468,"uris":["http://zotero.org/users/11896629/items/PJVC22BV"],"itemData":{"id":3468,"type":"article-journal","container-title":"The Journal of Clinical Endocrinology &amp; Metabolism","DOI":"10.1210/jc.2013-2627","ISSN":"0021-972X, 1945-7197","issue":"12","journalAbbreviation":"The Journal of Clinical Endocrinology &amp; Metabolism","language":"en","page":"E1972-E1978","source":"DOI.org (Crossref)","title":"Vitamin D Deficiency in Serbian Patients With Rett Syndrome","volume":"98","author":[{"family":"Sarajlija","given":"Adrijan"},{"family":"Djuric","given":"Milena"},{"family":"Tepavcevic","given":"Darija Kisic"},{"family":"Grkovic","given":"Sanja"},{"family":"Djordjevic","given":"Maja"}],"issued":{"date-parts":[["2013",12]]}}}],"schema":"https://github.com/citation-style-language/schema/raw/master/csl-citation.json"} </w:instrText>
            </w:r>
            <w:r w:rsidR="002923ED" w:rsidRPr="009B66A4">
              <w:rPr>
                <w:rFonts w:ascii="Calibri" w:eastAsia="Times New Roman" w:hAnsi="Calibri" w:cs="Calibri"/>
                <w:b/>
                <w:bCs/>
                <w:kern w:val="0"/>
                <w:sz w:val="20"/>
                <w:szCs w:val="20"/>
                <w14:ligatures w14:val="none"/>
              </w:rPr>
              <w:fldChar w:fldCharType="separate"/>
            </w:r>
            <w:r w:rsidR="00AD3B0F" w:rsidRPr="009B66A4">
              <w:rPr>
                <w:rFonts w:ascii="Calibri" w:hAnsi="Calibri" w:cs="Calibri"/>
                <w:sz w:val="20"/>
                <w:szCs w:val="20"/>
              </w:rPr>
              <w:t>[106]</w:t>
            </w:r>
            <w:r w:rsidR="002923ED" w:rsidRPr="009B66A4">
              <w:rPr>
                <w:rFonts w:ascii="Calibri" w:eastAsia="Times New Roman" w:hAnsi="Calibri" w:cs="Calibri"/>
                <w:b/>
                <w:bCs/>
                <w:kern w:val="0"/>
                <w:sz w:val="20"/>
                <w:szCs w:val="20"/>
                <w14:ligatures w14:val="none"/>
              </w:rPr>
              <w:fldChar w:fldCharType="end"/>
            </w:r>
          </w:p>
        </w:tc>
        <w:tc>
          <w:tcPr>
            <w:tcW w:w="1194" w:type="dxa"/>
            <w:noWrap/>
            <w:vAlign w:val="center"/>
            <w:hideMark/>
          </w:tcPr>
          <w:p w14:paraId="36CF5B1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Serbia</w:t>
            </w:r>
          </w:p>
        </w:tc>
        <w:tc>
          <w:tcPr>
            <w:tcW w:w="1316" w:type="dxa"/>
            <w:noWrap/>
            <w:vAlign w:val="center"/>
            <w:hideMark/>
          </w:tcPr>
          <w:p w14:paraId="4BE5A2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43A61CF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6B2861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9CF60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3C050C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35</w:t>
            </w:r>
          </w:p>
        </w:tc>
        <w:tc>
          <w:tcPr>
            <w:tcW w:w="1682" w:type="dxa"/>
            <w:vAlign w:val="center"/>
            <w:hideMark/>
          </w:tcPr>
          <w:p w14:paraId="43E82C7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138 months (Range: 30 months to 21 years and 7 months)</w:t>
            </w:r>
          </w:p>
        </w:tc>
        <w:tc>
          <w:tcPr>
            <w:tcW w:w="1394" w:type="dxa"/>
            <w:noWrap/>
            <w:vAlign w:val="center"/>
            <w:hideMark/>
          </w:tcPr>
          <w:p w14:paraId="3CFE14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7A5867A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35 (100%)</w:t>
            </w:r>
          </w:p>
        </w:tc>
        <w:tc>
          <w:tcPr>
            <w:tcW w:w="1394" w:type="dxa"/>
            <w:noWrap/>
            <w:vAlign w:val="center"/>
            <w:hideMark/>
          </w:tcPr>
          <w:p w14:paraId="2C8E18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 (71.8%)</w:t>
            </w:r>
          </w:p>
        </w:tc>
        <w:tc>
          <w:tcPr>
            <w:tcW w:w="1438" w:type="dxa"/>
            <w:noWrap/>
            <w:vAlign w:val="center"/>
            <w:hideMark/>
          </w:tcPr>
          <w:p w14:paraId="6243AA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CSS, median (IQR): 18 (14–24)</w:t>
            </w:r>
          </w:p>
        </w:tc>
      </w:tr>
      <w:tr w:rsidR="00713B5E" w:rsidRPr="009B66A4" w14:paraId="00F2E100" w14:textId="77777777" w:rsidTr="00A3759F">
        <w:trPr>
          <w:trHeight w:val="20"/>
        </w:trPr>
        <w:tc>
          <w:tcPr>
            <w:tcW w:w="1444" w:type="dxa"/>
            <w:noWrap/>
            <w:vAlign w:val="center"/>
            <w:hideMark/>
          </w:tcPr>
          <w:p w14:paraId="0CC198FE" w14:textId="086ACFE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Sarajlija, 2013</w:t>
            </w:r>
            <w:r w:rsidRPr="009B66A4">
              <w:rPr>
                <w:rFonts w:ascii="Calibri" w:eastAsia="Times New Roman" w:hAnsi="Calibri" w:cs="Calibri"/>
                <w:b/>
                <w:bCs/>
                <w:kern w:val="0"/>
                <w:sz w:val="20"/>
                <w:szCs w:val="20"/>
                <w14:ligatures w14:val="none"/>
              </w:rPr>
              <w:t>b</w:t>
            </w:r>
            <w:r w:rsidR="00AD3B0F" w:rsidRPr="009B66A4">
              <w:rPr>
                <w:rFonts w:ascii="Calibri" w:eastAsia="Times New Roman" w:hAnsi="Calibri" w:cs="Calibri"/>
                <w:b/>
                <w:bCs/>
                <w:kern w:val="0"/>
                <w:sz w:val="20"/>
                <w:szCs w:val="20"/>
                <w14:ligatures w14:val="none"/>
              </w:rPr>
              <w:fldChar w:fldCharType="begin"/>
            </w:r>
            <w:r w:rsidR="00B63ADC" w:rsidRPr="009B66A4">
              <w:rPr>
                <w:rFonts w:ascii="Calibri" w:eastAsia="Times New Roman" w:hAnsi="Calibri" w:cs="Calibri"/>
                <w:b/>
                <w:bCs/>
                <w:kern w:val="0"/>
                <w:sz w:val="20"/>
                <w:szCs w:val="20"/>
                <w14:ligatures w14:val="none"/>
              </w:rPr>
              <w:instrText xml:space="preserve"> ADDIN ZOTERO_ITEM CSL_CITATION {"citationID":"6xqmLNTx","properties":{"formattedCitation":"[107]","plainCitation":"[107]","noteIndex":0},"citationItems":[{"id":3470,"uris":["http://zotero.org/users/11896629/items/U69QQ9KB"],"itemData":{"id":3470,"type":"article-journal","abstract":"Background/Aim. Rett syndrome (RTT) is a severe neurodevelopmental disorder\n   primarily affecting females with an estimated incidence of 1 : 10,000-15,000\n   female births. Currently, there is no specific treatment that halts or\n   reverses the progression of RTT. Therefore, management was mainly\n   symptomatic, focussed on optimising patient's abilities. The aim of this\n   study was to investigate factors influencing health-related quality of life\n   (HRQoL) and depression in mothers who care for children with Rett syndrome\n   (RTT) in Serbia. Methods. The cross-sectional study was conducted on 49\n   mothers giving care to females with RTT. Caregivers` HRQoL was assessed by\n   using the SF-36 questionnaire. Clinical severity score (CSS) of RTT patients\n   and Beck Depression Inventory II (BDI -II) scale were used to quantify RTT\n   severity and mothers` depression, respectively. Statistical assessment\n   included descriptive statistics, ttest, Pearson correlation coefficient and\n   multiple logistic regression. Results. The age of mothers ranged from 22 to\n   55 years and of their affected children from 3 to 29 years. Severe depression\n   was observed in 15 (30.6%) participants. CSS and BDI - II scores correlated\n   negatively with all SF- 36 domains and composite scores. Lowest scoring\n   domains of HRQoL in mothers giving care to RTT children were mental health,\n   vitality and role functioning emotional. Multiple linear regression analysis\n   revealed that severity of RTT patients` disability (CSS) and caregivers` age\n   are factors with strongest influence to HRQoL and depression in care giving\n   mothers. Conclusion. Mothers giving care to children with RTT are at high\n   risk of severe depression and lower HRQoL scores of domains that reflect\n   mental well-being. Results of this study can help in planning subsequent\n   interventions directed at families dealing with Rett syndrome.\n          , \n            Uvod/Cilj. Retov sindrom (RTT) je tezak neurorazvojni poremecaj koji\n   prvenstveno pogadja devojcice. Incidencija se procenjuje na 1 : 10 000-15 000\n   zivorodjene dece zenskog pola. Trenutno ne postoji specificna terapija koja bi\n   mogla da promeni tok ove bolesti. Stoga je tretman uglavnom simptomatski sa\n   naglaskom na unapredjenje pojedinih sposobnosti bolesnika. Cilj ove studije\n   bio je ispitivanje faktora koji uticu na kvalitet zivota (HRQoL) i depresiju\n   majki koje brinu o deci oboleloj od RTT u Srbiji. Metode. Studija preseka je\n   obuhvatila 49 majki koje brinu o deci oboleloj od RTT. Kvalitet zivota je\n   ispitivan pomocu SF- 36 upitnika. Skor tezine klinicke slike (CSS) bolesnika\n   sa RTT i Bekova skala depresije II (BDI - II) upotrebljeni su u proceni\n   tezine bolesti kod dece, odnosno stepena depresije kod majki. Statisticka\n   analiza je ukljucila deskriptivne metode, t-test, Pirsonov koeficijent\n   korelacije i multiplu linearnu regresiju. Rezultati. Starost majki kretala se\n   u rasponu od 22 do 55 godina, a uzrast bolesnika od 3 do 29 godina. Teska\n   depresija je zapazena kod 15 (30,6%) ucesnica u studiji. Skorovi CSS i BDI -\n   II negativno su korelisali sa svim SF-36 dimenzijama i zbirnim skorovima.\n   Najnize ocenjene dimenzije kvaliteta zivota kod majki koje brinu o deci sa\n   Retovim sindromom su mentalno zdravlje, vitalnost i emocionalno\n   funkcionisanje. Multipla linearna regresija pokazala je da godine majke i\n   tezina klinicke slike deteta imaju najsnaznije dejstvo u pravcu pojave\n   depresije i losijeg kvaliteta zivota u ovoj populaciji. Zakljucak. Majke koje\n   brinu o deci sa RTT imaju visok rizik za pojavu teske depresije i nizih\n   skorova HRQoL u domenima koji odrazavaju mentalno stanje. Rezultati ove\n   studije mogu pomoci u planiranju adekvatne podrske porodicama koje imaju\n   clanove obolele od RTT.","container-title":"Vojnosanitetski pregled","DOI":"10.2298/VSP1309842S","ISSN":"0042-8450, 2406-0720","issue":"9","journalAbbreviation":"VSP","language":"en","license":"http://creativecommons.org/licenses/by-sa/4.0/","page":"842-847","source":"DOI.org (Crossref)","title":"Health-related quality of life and depression in Rett syndrome caregivers","volume":"70","author":[{"family":"Sarajlija","given":"Adrijan"},{"family":"Djuric","given":"Milena"},{"family":"Kisic-Tepavcevic","given":"Darija"}],"issued":{"date-parts":[["2013"]]}}}],"schema":"https://github.com/citation-style-language/schema/raw/master/csl-citation.json"} </w:instrText>
            </w:r>
            <w:r w:rsidR="00AD3B0F" w:rsidRPr="009B66A4">
              <w:rPr>
                <w:rFonts w:ascii="Calibri" w:eastAsia="Times New Roman" w:hAnsi="Calibri" w:cs="Calibri"/>
                <w:b/>
                <w:bCs/>
                <w:kern w:val="0"/>
                <w:sz w:val="20"/>
                <w:szCs w:val="20"/>
                <w14:ligatures w14:val="none"/>
              </w:rPr>
              <w:fldChar w:fldCharType="separate"/>
            </w:r>
            <w:r w:rsidR="00B63ADC" w:rsidRPr="009B66A4">
              <w:rPr>
                <w:rFonts w:ascii="Calibri" w:hAnsi="Calibri" w:cs="Calibri"/>
                <w:sz w:val="20"/>
                <w:szCs w:val="20"/>
              </w:rPr>
              <w:t>[107]</w:t>
            </w:r>
            <w:r w:rsidR="00AD3B0F" w:rsidRPr="009B66A4">
              <w:rPr>
                <w:rFonts w:ascii="Calibri" w:eastAsia="Times New Roman" w:hAnsi="Calibri" w:cs="Calibri"/>
                <w:b/>
                <w:bCs/>
                <w:kern w:val="0"/>
                <w:sz w:val="20"/>
                <w:szCs w:val="20"/>
                <w14:ligatures w14:val="none"/>
              </w:rPr>
              <w:fldChar w:fldCharType="end"/>
            </w:r>
          </w:p>
        </w:tc>
        <w:tc>
          <w:tcPr>
            <w:tcW w:w="1194" w:type="dxa"/>
            <w:noWrap/>
            <w:vAlign w:val="center"/>
            <w:hideMark/>
          </w:tcPr>
          <w:p w14:paraId="7A16F6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Serbia</w:t>
            </w:r>
          </w:p>
        </w:tc>
        <w:tc>
          <w:tcPr>
            <w:tcW w:w="1316" w:type="dxa"/>
            <w:noWrap/>
            <w:vAlign w:val="center"/>
            <w:hideMark/>
          </w:tcPr>
          <w:p w14:paraId="5DED30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6F5BF0E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53587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18967D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F607B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49</w:t>
            </w:r>
          </w:p>
        </w:tc>
        <w:tc>
          <w:tcPr>
            <w:tcW w:w="1682" w:type="dxa"/>
            <w:noWrap/>
            <w:vAlign w:val="center"/>
            <w:hideMark/>
          </w:tcPr>
          <w:p w14:paraId="6376FD8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12.2 (6.7)</w:t>
            </w:r>
          </w:p>
        </w:tc>
        <w:tc>
          <w:tcPr>
            <w:tcW w:w="1394" w:type="dxa"/>
            <w:noWrap/>
            <w:vAlign w:val="center"/>
            <w:hideMark/>
          </w:tcPr>
          <w:p w14:paraId="66EA4E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5CB14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49 (100%)</w:t>
            </w:r>
          </w:p>
        </w:tc>
        <w:tc>
          <w:tcPr>
            <w:tcW w:w="1394" w:type="dxa"/>
            <w:noWrap/>
            <w:vAlign w:val="center"/>
            <w:hideMark/>
          </w:tcPr>
          <w:p w14:paraId="1ACEF6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0CF6F70" w14:textId="5871F7A4"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CSS,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21.5 (7.9)</w:t>
            </w:r>
          </w:p>
        </w:tc>
      </w:tr>
      <w:tr w:rsidR="00713B5E" w:rsidRPr="009B66A4" w14:paraId="579BFD75" w14:textId="77777777" w:rsidTr="00A3759F">
        <w:trPr>
          <w:trHeight w:val="20"/>
        </w:trPr>
        <w:tc>
          <w:tcPr>
            <w:tcW w:w="1444" w:type="dxa"/>
            <w:vMerge w:val="restart"/>
            <w:noWrap/>
            <w:vAlign w:val="center"/>
            <w:hideMark/>
          </w:tcPr>
          <w:p w14:paraId="00AE7127" w14:textId="76E355D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Halbach, 2013</w:t>
            </w:r>
            <w:r w:rsidR="00B63ADC" w:rsidRPr="009B66A4">
              <w:rPr>
                <w:rFonts w:ascii="Calibri" w:eastAsia="Times New Roman" w:hAnsi="Calibri" w:cs="Calibri"/>
                <w:kern w:val="0"/>
                <w:sz w:val="20"/>
                <w:szCs w:val="20"/>
                <w14:ligatures w14:val="none"/>
              </w:rPr>
              <w:fldChar w:fldCharType="begin"/>
            </w:r>
            <w:r w:rsidR="0086366A" w:rsidRPr="009B66A4">
              <w:rPr>
                <w:rFonts w:ascii="Calibri" w:eastAsia="Times New Roman" w:hAnsi="Calibri" w:cs="Calibri"/>
                <w:kern w:val="0"/>
                <w:sz w:val="20"/>
                <w:szCs w:val="20"/>
                <w14:ligatures w14:val="none"/>
              </w:rPr>
              <w:instrText xml:space="preserve"> ADDIN ZOTERO_ITEM CSL_CITATION {"citationID":"lIah3ilA","properties":{"formattedCitation":"[108]","plainCitation":"[108]","noteIndex":0},"citationItems":[{"id":3471,"uris":["http://zotero.org/users/11896629/items/XWB9TMTE"],"itemData":{"id":3471,"type":"article-journal","abstract":"Little is known about the aging process of people with specific syndromes, like Rett syndrome (\n              RTT\n              ). Recognition of the clinical and behavioral characteristics of the adult\n              RTT\n              is needed in order to improve future management of the\n              RTT\n              girl and counseling of parents. In association with the Dutch\n              RTT\n              parent association, a 5‐year longitudinal study was carried out. The study population consisted of 53 adult women with a clinical diagnosis of\n              RTT\n              . Postal questionnaires were sent, including demographic features, skills, physical and psychiatric morbidity. At the time of the second measurement seven women had died. In 2012, 80% of the questionnaires (37/46) were returned. Mean age of the women was 31.4 years. Molecular confirmation was possible for 83% of the women for whom analyses were carried out. The adult\n              RTT\n              woman has a more or less stable condition. The general disorder profile is that of a slow on‐going deterioration of gross motor functioning in contrast to a better preserved cognitive functioning, less autonomic and epileptic features and good general health. This is the first longitudinal cohort study about aging in\n              RTT\n              . Continuing longitudinal studies are needed to gain more insight into the aging process in\n              RTT\n              .","container-title":"Clinical Genetics","DOI":"10.1111/cge.12063","ISSN":"0009-9163, 1399-0004","issue":"3","journalAbbreviation":"Clinical Genetics","language":"en","license":"http://onlinelibrary.wiley.com/termsAndConditions#vor","page":"223-229","source":"DOI.org (Crossref)","title":"Aging in Rett syndrome: a longitudinal study","title-short":"Aging in Rett syndrome","volume":"84","author":[{"family":"Halbach","given":"Nsj"},{"family":"Smeets","given":"Eej"},{"family":"Steinbusch","given":"C"},{"family":"Maaskant","given":"Ma"},{"family":"Van Waardenburg","given":"D"},{"family":"Curfs","given":"Lmg"}],"issued":{"date-parts":[["2013",9]]}}}],"schema":"https://github.com/citation-style-language/schema/raw/master/csl-citation.json"} </w:instrText>
            </w:r>
            <w:r w:rsidR="00B63ADC" w:rsidRPr="009B66A4">
              <w:rPr>
                <w:rFonts w:ascii="Calibri" w:eastAsia="Times New Roman" w:hAnsi="Calibri" w:cs="Calibri"/>
                <w:kern w:val="0"/>
                <w:sz w:val="20"/>
                <w:szCs w:val="20"/>
                <w14:ligatures w14:val="none"/>
              </w:rPr>
              <w:fldChar w:fldCharType="separate"/>
            </w:r>
            <w:r w:rsidR="0086366A" w:rsidRPr="009B66A4">
              <w:rPr>
                <w:rFonts w:ascii="Calibri" w:hAnsi="Calibri" w:cs="Calibri"/>
                <w:sz w:val="20"/>
                <w:szCs w:val="20"/>
              </w:rPr>
              <w:t>[108]</w:t>
            </w:r>
            <w:r w:rsidR="00B63ADC"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3F37A8D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Netherlands</w:t>
            </w:r>
          </w:p>
        </w:tc>
        <w:tc>
          <w:tcPr>
            <w:tcW w:w="1316" w:type="dxa"/>
            <w:vMerge w:val="restart"/>
            <w:noWrap/>
            <w:vAlign w:val="center"/>
            <w:hideMark/>
          </w:tcPr>
          <w:p w14:paraId="5554B32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2D6AB4F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71AE407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44EC57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39EF028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w:t>
            </w:r>
          </w:p>
        </w:tc>
        <w:tc>
          <w:tcPr>
            <w:tcW w:w="1682" w:type="dxa"/>
            <w:vAlign w:val="center"/>
            <w:hideMark/>
          </w:tcPr>
          <w:p w14:paraId="214165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2007: Mean age: 26.9 (7.85)</w:t>
            </w:r>
          </w:p>
        </w:tc>
        <w:tc>
          <w:tcPr>
            <w:tcW w:w="1394" w:type="dxa"/>
            <w:vMerge w:val="restart"/>
            <w:noWrap/>
            <w:vAlign w:val="center"/>
            <w:hideMark/>
          </w:tcPr>
          <w:p w14:paraId="64D6A23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191A00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 (100%)</w:t>
            </w:r>
          </w:p>
        </w:tc>
        <w:tc>
          <w:tcPr>
            <w:tcW w:w="1394" w:type="dxa"/>
            <w:vAlign w:val="center"/>
            <w:hideMark/>
          </w:tcPr>
          <w:p w14:paraId="15A09C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MECP2 positive</w:t>
            </w:r>
          </w:p>
        </w:tc>
        <w:tc>
          <w:tcPr>
            <w:tcW w:w="1438" w:type="dxa"/>
            <w:vMerge w:val="restart"/>
            <w:noWrap/>
            <w:vAlign w:val="center"/>
            <w:hideMark/>
          </w:tcPr>
          <w:p w14:paraId="4DB298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294F7FE" w14:textId="77777777" w:rsidTr="00A3759F">
        <w:trPr>
          <w:trHeight w:val="20"/>
        </w:trPr>
        <w:tc>
          <w:tcPr>
            <w:tcW w:w="1444" w:type="dxa"/>
            <w:vMerge/>
            <w:vAlign w:val="center"/>
            <w:hideMark/>
          </w:tcPr>
          <w:p w14:paraId="1657525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2EFD949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13B24C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4FF972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C5776D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0277A3C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2D2B23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280B55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2012: Mean age: 31.4 (7.37)</w:t>
            </w:r>
          </w:p>
        </w:tc>
        <w:tc>
          <w:tcPr>
            <w:tcW w:w="1394" w:type="dxa"/>
            <w:vMerge/>
            <w:vAlign w:val="center"/>
            <w:hideMark/>
          </w:tcPr>
          <w:p w14:paraId="55DAF8F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C8E1F2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034E0BF0" w14:textId="67205B5B" w:rsidR="00302A4B"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2007:</w:t>
            </w:r>
            <w:r w:rsidR="00302A4B" w:rsidRPr="009B66A4">
              <w:rPr>
                <w:rFonts w:ascii="Calibri" w:eastAsia="Times New Roman" w:hAnsi="Calibri" w:cs="Calibri"/>
                <w:kern w:val="0"/>
                <w:sz w:val="20"/>
                <w:szCs w:val="20"/>
                <w14:ligatures w14:val="none"/>
              </w:rPr>
              <w:t xml:space="preserve"> 31 (84%)</w:t>
            </w:r>
          </w:p>
        </w:tc>
        <w:tc>
          <w:tcPr>
            <w:tcW w:w="1438" w:type="dxa"/>
            <w:vMerge/>
            <w:vAlign w:val="center"/>
            <w:hideMark/>
          </w:tcPr>
          <w:p w14:paraId="642CB7D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0A94CC33" w14:textId="77777777" w:rsidTr="00A3759F">
        <w:trPr>
          <w:trHeight w:val="20"/>
        </w:trPr>
        <w:tc>
          <w:tcPr>
            <w:tcW w:w="1444" w:type="dxa"/>
            <w:vMerge/>
            <w:vAlign w:val="center"/>
            <w:hideMark/>
          </w:tcPr>
          <w:p w14:paraId="47FA89B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1810A8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E7E35A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ADD730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C92BD4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473BED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76DB9A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hideMark/>
          </w:tcPr>
          <w:p w14:paraId="0777998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ign w:val="center"/>
            <w:hideMark/>
          </w:tcPr>
          <w:p w14:paraId="1248A3F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7C5D8E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4C1EB78F" w14:textId="25538B21" w:rsidR="00302A4B"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2012:</w:t>
            </w:r>
            <w:r w:rsidR="00302A4B" w:rsidRPr="009B66A4">
              <w:rPr>
                <w:rFonts w:ascii="Calibri" w:eastAsia="Times New Roman" w:hAnsi="Calibri" w:cs="Calibri"/>
                <w:kern w:val="0"/>
                <w:sz w:val="20"/>
                <w:szCs w:val="20"/>
                <w14:ligatures w14:val="none"/>
              </w:rPr>
              <w:t xml:space="preserve"> 24 (83%)</w:t>
            </w:r>
          </w:p>
        </w:tc>
        <w:tc>
          <w:tcPr>
            <w:tcW w:w="1438" w:type="dxa"/>
            <w:vMerge/>
            <w:vAlign w:val="center"/>
            <w:hideMark/>
          </w:tcPr>
          <w:p w14:paraId="5174D82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41095506" w14:textId="77777777" w:rsidTr="00A3759F">
        <w:trPr>
          <w:trHeight w:val="20"/>
        </w:trPr>
        <w:tc>
          <w:tcPr>
            <w:tcW w:w="1444" w:type="dxa"/>
            <w:noWrap/>
            <w:vAlign w:val="center"/>
            <w:hideMark/>
          </w:tcPr>
          <w:p w14:paraId="096A8251" w14:textId="0160053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Larsson, 2013</w:t>
            </w:r>
            <w:r w:rsidR="0086366A" w:rsidRPr="009B66A4">
              <w:rPr>
                <w:rFonts w:ascii="Calibri" w:eastAsia="Times New Roman" w:hAnsi="Calibri" w:cs="Calibri"/>
                <w:kern w:val="0"/>
                <w:sz w:val="20"/>
                <w:szCs w:val="20"/>
                <w14:ligatures w14:val="none"/>
              </w:rPr>
              <w:fldChar w:fldCharType="begin"/>
            </w:r>
            <w:r w:rsidR="00F10A2C" w:rsidRPr="009B66A4">
              <w:rPr>
                <w:rFonts w:ascii="Calibri" w:eastAsia="Times New Roman" w:hAnsi="Calibri" w:cs="Calibri"/>
                <w:kern w:val="0"/>
                <w:sz w:val="20"/>
                <w:szCs w:val="20"/>
                <w14:ligatures w14:val="none"/>
              </w:rPr>
              <w:instrText xml:space="preserve"> ADDIN ZOTERO_ITEM CSL_CITATION {"citationID":"IQuhRN2B","properties":{"formattedCitation":"[109]","plainCitation":"[109]","noteIndex":0},"citationItems":[{"id":3473,"uris":["http://zotero.org/users/11896629/items/R7UIWJBZ"],"itemData":{"id":3473,"type":"article-journal","container-title":"Research in Developmental Disabilities","DOI":"10.1016/j.ridd.2013.02.027","ISSN":"08914222","issue":"6","journalAbbreviation":"Research in Developmental Disabilities","language":"en","page":"1897-1905","source":"DOI.org (Crossref)","title":"Normal reactions to orthostatic stress in Rett syndrome","volume":"34","author":[{"family":"Larsson","given":"Gunilla"},{"family":"Julu","given":"Peter O.O."},{"family":"Witt Engerström","given":"Ingegerd"},{"family":"Sandlund","given":"Marlene"},{"family":"Lindström","given":"Britta"}],"issued":{"date-parts":[["2013",6]]}}}],"schema":"https://github.com/citation-style-language/schema/raw/master/csl-citation.json"} </w:instrText>
            </w:r>
            <w:r w:rsidR="0086366A" w:rsidRPr="009B66A4">
              <w:rPr>
                <w:rFonts w:ascii="Calibri" w:eastAsia="Times New Roman" w:hAnsi="Calibri" w:cs="Calibri"/>
                <w:kern w:val="0"/>
                <w:sz w:val="20"/>
                <w:szCs w:val="20"/>
                <w14:ligatures w14:val="none"/>
              </w:rPr>
              <w:fldChar w:fldCharType="separate"/>
            </w:r>
            <w:r w:rsidR="00F10A2C" w:rsidRPr="009B66A4">
              <w:rPr>
                <w:rFonts w:ascii="Calibri" w:hAnsi="Calibri" w:cs="Calibri"/>
                <w:sz w:val="20"/>
                <w:szCs w:val="20"/>
              </w:rPr>
              <w:t>[109]</w:t>
            </w:r>
            <w:r w:rsidR="0086366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61623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Sweden</w:t>
            </w:r>
          </w:p>
        </w:tc>
        <w:tc>
          <w:tcPr>
            <w:tcW w:w="1316" w:type="dxa"/>
            <w:noWrap/>
            <w:vAlign w:val="center"/>
            <w:hideMark/>
          </w:tcPr>
          <w:p w14:paraId="2A565F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4EA51E5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F8A19F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01401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A7989D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w:t>
            </w:r>
          </w:p>
        </w:tc>
        <w:tc>
          <w:tcPr>
            <w:tcW w:w="1682" w:type="dxa"/>
            <w:vAlign w:val="center"/>
            <w:hideMark/>
          </w:tcPr>
          <w:p w14:paraId="23AA04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20 (Range: 5 – 46)</w:t>
            </w:r>
          </w:p>
        </w:tc>
        <w:tc>
          <w:tcPr>
            <w:tcW w:w="1394" w:type="dxa"/>
            <w:noWrap/>
            <w:vAlign w:val="center"/>
            <w:hideMark/>
          </w:tcPr>
          <w:p w14:paraId="4C8704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72C4FFD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 (100%)</w:t>
            </w:r>
          </w:p>
        </w:tc>
        <w:tc>
          <w:tcPr>
            <w:tcW w:w="1394" w:type="dxa"/>
            <w:vAlign w:val="center"/>
            <w:hideMark/>
          </w:tcPr>
          <w:p w14:paraId="0A97A45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 (76%)</w:t>
            </w:r>
          </w:p>
        </w:tc>
        <w:tc>
          <w:tcPr>
            <w:tcW w:w="1438" w:type="dxa"/>
            <w:noWrap/>
            <w:vAlign w:val="center"/>
            <w:hideMark/>
          </w:tcPr>
          <w:p w14:paraId="7687565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Kerr score, median(range):  22 (11–34).</w:t>
            </w:r>
          </w:p>
        </w:tc>
      </w:tr>
      <w:tr w:rsidR="00713B5E" w:rsidRPr="009B66A4" w14:paraId="2E4575C7" w14:textId="77777777" w:rsidTr="00A3759F">
        <w:trPr>
          <w:trHeight w:val="20"/>
        </w:trPr>
        <w:tc>
          <w:tcPr>
            <w:tcW w:w="1444" w:type="dxa"/>
            <w:noWrap/>
            <w:vAlign w:val="center"/>
            <w:hideMark/>
          </w:tcPr>
          <w:p w14:paraId="1E0FB135" w14:textId="046CBC3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Kim, 2012</w:t>
            </w:r>
            <w:r w:rsidR="00F10A2C" w:rsidRPr="009B66A4">
              <w:rPr>
                <w:rFonts w:ascii="Calibri" w:eastAsia="Times New Roman" w:hAnsi="Calibri" w:cs="Calibri"/>
                <w:kern w:val="0"/>
                <w:sz w:val="20"/>
                <w:szCs w:val="20"/>
                <w14:ligatures w14:val="none"/>
              </w:rPr>
              <w:fldChar w:fldCharType="begin"/>
            </w:r>
            <w:r w:rsidR="00D416B9" w:rsidRPr="009B66A4">
              <w:rPr>
                <w:rFonts w:ascii="Calibri" w:eastAsia="Times New Roman" w:hAnsi="Calibri" w:cs="Calibri"/>
                <w:kern w:val="0"/>
                <w:sz w:val="20"/>
                <w:szCs w:val="20"/>
                <w14:ligatures w14:val="none"/>
              </w:rPr>
              <w:instrText xml:space="preserve"> ADDIN ZOTERO_ITEM CSL_CITATION {"citationID":"lBFnYnVE","properties":{"formattedCitation":"[110]","plainCitation":"[110]","noteIndex":0},"citationItems":[{"id":3474,"uris":["http://zotero.org/users/11896629/items/8HA99U7Z"],"itemData":{"id":3474,"type":"article-journal","container-title":"Yonsei Medical Journal","DOI":"10.3349/ymj.2012.53.3.495","ISSN":"0513-5796, 1976-2437","issue":"3","journalAbbreviation":"Yonsei Med J","language":"en","page":"495","source":"DOI.org (Crossref)","title":"Genetic and Epileptic Features in Rett Syndrome","volume":"53","author":[{"family":"Kim","given":"Hyo Jeong"},{"family":"Kim","given":"Shin Hye"},{"family":"Kim","given":"Heung Dong"},{"family":"Lee","given":"Joon Soo"},{"family":"Lee","given":"Young-Mock"},{"family":"Koo","given":"Kyo Yeon"},{"family":"Lee","given":"Jin Sung"},{"family":"Kang","given":"Hoon-Chul"}],"issued":{"date-parts":[["2012"]]}}}],"schema":"https://github.com/citation-style-language/schema/raw/master/csl-citation.json"} </w:instrText>
            </w:r>
            <w:r w:rsidR="00F10A2C" w:rsidRPr="009B66A4">
              <w:rPr>
                <w:rFonts w:ascii="Calibri" w:eastAsia="Times New Roman" w:hAnsi="Calibri" w:cs="Calibri"/>
                <w:kern w:val="0"/>
                <w:sz w:val="20"/>
                <w:szCs w:val="20"/>
                <w14:ligatures w14:val="none"/>
              </w:rPr>
              <w:fldChar w:fldCharType="separate"/>
            </w:r>
            <w:r w:rsidR="00D416B9" w:rsidRPr="009B66A4">
              <w:rPr>
                <w:rFonts w:ascii="Calibri" w:hAnsi="Calibri" w:cs="Calibri"/>
                <w:sz w:val="20"/>
                <w:szCs w:val="20"/>
              </w:rPr>
              <w:t>[110]</w:t>
            </w:r>
            <w:r w:rsidR="00F10A2C"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B0DF28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South Korea</w:t>
            </w:r>
          </w:p>
        </w:tc>
        <w:tc>
          <w:tcPr>
            <w:tcW w:w="1316" w:type="dxa"/>
            <w:noWrap/>
            <w:vAlign w:val="center"/>
            <w:hideMark/>
          </w:tcPr>
          <w:p w14:paraId="411F03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5DC9F4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7B57E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8C226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B48F31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w:t>
            </w:r>
          </w:p>
        </w:tc>
        <w:tc>
          <w:tcPr>
            <w:tcW w:w="1682" w:type="dxa"/>
            <w:noWrap/>
            <w:vAlign w:val="center"/>
            <w:hideMark/>
          </w:tcPr>
          <w:p w14:paraId="48A2D5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7.7 (2.6)</w:t>
            </w:r>
          </w:p>
        </w:tc>
        <w:tc>
          <w:tcPr>
            <w:tcW w:w="1394" w:type="dxa"/>
            <w:noWrap/>
            <w:vAlign w:val="center"/>
            <w:hideMark/>
          </w:tcPr>
          <w:p w14:paraId="29DD04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F0CDCB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394" w:type="dxa"/>
            <w:noWrap/>
            <w:vAlign w:val="center"/>
            <w:hideMark/>
          </w:tcPr>
          <w:p w14:paraId="4B7B7E6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438" w:type="dxa"/>
            <w:noWrap/>
            <w:vAlign w:val="center"/>
            <w:hideMark/>
          </w:tcPr>
          <w:p w14:paraId="5BAD9BF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6F3EDF0" w14:textId="77777777" w:rsidTr="00A3759F">
        <w:trPr>
          <w:trHeight w:val="20"/>
        </w:trPr>
        <w:tc>
          <w:tcPr>
            <w:tcW w:w="1444" w:type="dxa"/>
            <w:noWrap/>
            <w:vAlign w:val="center"/>
            <w:hideMark/>
          </w:tcPr>
          <w:p w14:paraId="39C4105C" w14:textId="3C54EF7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 Felice, 2012</w:t>
            </w:r>
            <w:r w:rsidR="00D416B9" w:rsidRPr="009B66A4">
              <w:rPr>
                <w:rFonts w:ascii="Calibri" w:eastAsia="Times New Roman" w:hAnsi="Calibri" w:cs="Calibri"/>
                <w:kern w:val="0"/>
                <w:sz w:val="20"/>
                <w:szCs w:val="20"/>
                <w14:ligatures w14:val="none"/>
              </w:rPr>
              <w:fldChar w:fldCharType="begin"/>
            </w:r>
            <w:r w:rsidR="00785FEE" w:rsidRPr="009B66A4">
              <w:rPr>
                <w:rFonts w:ascii="Calibri" w:eastAsia="Times New Roman" w:hAnsi="Calibri" w:cs="Calibri"/>
                <w:kern w:val="0"/>
                <w:sz w:val="20"/>
                <w:szCs w:val="20"/>
                <w14:ligatures w14:val="none"/>
              </w:rPr>
              <w:instrText xml:space="preserve"> ADDIN ZOTERO_ITEM CSL_CITATION {"citationID":"Q7tqhPZZ","properties":{"formattedCitation":"[111]","plainCitation":"[111]","noteIndex":0},"citationItems":[{"id":3476,"uris":["http://zotero.org/users/11896629/items/7WWYME6I"],"itemData":{"id":3476,"type":"article-journal","container-title":"European Heart Journal - Cardiovascular Imaging","DOI":"10.1093/ejechocard/jer256","ISSN":"2047-2404, 2047-2412","issue":"4","journalAbbreviation":"European Heart Journal - Cardiovascular Imaging","language":"en","page":"339-345","source":"DOI.org (Crossref)","title":"Subclinical myocardial dysfunction in Rett syndrome","volume":"13","author":[{"family":"De Felice","given":"C."},{"family":"Maffei","given":"S."},{"family":"Signorini","given":"C."},{"family":"Leoncini","given":"S."},{"family":"Lunghetti","given":"S."},{"family":"Valacchi","given":"G."},{"family":"D'Esposito","given":"M."},{"family":"Filosa","given":"S."},{"family":"Della Ragione","given":"F."},{"family":"Butera","given":"G."},{"family":"Favilli","given":"R."},{"family":"Ciccoli","given":"L."},{"family":"Hayek","given":"J."}],"issued":{"date-parts":[["2012",4,1]]}}}],"schema":"https://github.com/citation-style-language/schema/raw/master/csl-citation.json"} </w:instrText>
            </w:r>
            <w:r w:rsidR="00D416B9" w:rsidRPr="009B66A4">
              <w:rPr>
                <w:rFonts w:ascii="Calibri" w:eastAsia="Times New Roman" w:hAnsi="Calibri" w:cs="Calibri"/>
                <w:kern w:val="0"/>
                <w:sz w:val="20"/>
                <w:szCs w:val="20"/>
                <w14:ligatures w14:val="none"/>
              </w:rPr>
              <w:fldChar w:fldCharType="separate"/>
            </w:r>
            <w:r w:rsidR="00785FEE" w:rsidRPr="009B66A4">
              <w:rPr>
                <w:rFonts w:ascii="Calibri" w:hAnsi="Calibri" w:cs="Calibri"/>
                <w:sz w:val="20"/>
                <w:szCs w:val="20"/>
              </w:rPr>
              <w:t>[111]</w:t>
            </w:r>
            <w:r w:rsidR="00D416B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1B474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72ED408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2D25F6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BA2C7C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ED659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030D54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92</w:t>
            </w:r>
          </w:p>
        </w:tc>
        <w:tc>
          <w:tcPr>
            <w:tcW w:w="1682" w:type="dxa"/>
            <w:noWrap/>
            <w:vAlign w:val="center"/>
            <w:hideMark/>
          </w:tcPr>
          <w:p w14:paraId="0C71FC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BF9247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FF7D7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92 (100%)</w:t>
            </w:r>
          </w:p>
        </w:tc>
        <w:tc>
          <w:tcPr>
            <w:tcW w:w="1394" w:type="dxa"/>
            <w:noWrap/>
            <w:vAlign w:val="center"/>
            <w:hideMark/>
          </w:tcPr>
          <w:p w14:paraId="121B916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81 (88.04%)</w:t>
            </w:r>
          </w:p>
        </w:tc>
        <w:tc>
          <w:tcPr>
            <w:tcW w:w="1438" w:type="dxa"/>
            <w:noWrap/>
            <w:vAlign w:val="center"/>
            <w:hideMark/>
          </w:tcPr>
          <w:p w14:paraId="46A6C58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31CE69D" w14:textId="77777777" w:rsidTr="00A3759F">
        <w:trPr>
          <w:trHeight w:val="20"/>
        </w:trPr>
        <w:tc>
          <w:tcPr>
            <w:tcW w:w="1444" w:type="dxa"/>
            <w:noWrap/>
            <w:vAlign w:val="center"/>
            <w:hideMark/>
          </w:tcPr>
          <w:p w14:paraId="56FBBE44" w14:textId="70E801B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Gabos, 2012</w:t>
            </w:r>
            <w:r w:rsidR="00785FEE" w:rsidRPr="009B66A4">
              <w:rPr>
                <w:rFonts w:ascii="Calibri" w:eastAsia="Times New Roman" w:hAnsi="Calibri" w:cs="Calibri"/>
                <w:kern w:val="0"/>
                <w:sz w:val="20"/>
                <w:szCs w:val="20"/>
                <w14:ligatures w14:val="none"/>
              </w:rPr>
              <w:fldChar w:fldCharType="begin"/>
            </w:r>
            <w:r w:rsidR="00E070BD" w:rsidRPr="009B66A4">
              <w:rPr>
                <w:rFonts w:ascii="Calibri" w:eastAsia="Times New Roman" w:hAnsi="Calibri" w:cs="Calibri"/>
                <w:kern w:val="0"/>
                <w:sz w:val="20"/>
                <w:szCs w:val="20"/>
                <w14:ligatures w14:val="none"/>
              </w:rPr>
              <w:instrText xml:space="preserve"> ADDIN ZOTERO_ITEM CSL_CITATION {"citationID":"ORcZ3x17","properties":{"formattedCitation":"[112]","plainCitation":"[112]","noteIndex":0},"citationItems":[{"id":3477,"uris":["http://zotero.org/users/11896629/items/W97SR3GK"],"itemData":{"id":3477,"type":"article-journal","container-title":"Spine","DOI":"10.1097/BRS.0b013e3182404698","ISSN":"0362-2436","issue":"2","journalAbbreviation":"Spine","language":"en","page":"E90-E94","source":"DOI.org (Crossref)","title":"Spinal Fusion for Scoliosis in Rett Syndrome With an Emphasis on Early Postoperative Complications:","title-short":"Spinal Fusion for Scoliosis in Rett Syndrome With an Emphasis on Early Postoperative Complications","volume":"37","author":[{"family":"Gabos","given":"Peter G."},{"family":"Inan","given":"Muharrem"},{"family":"Thacker","given":"Mihir"},{"family":"Borkhu","given":"Buttugs"}],"issued":{"date-parts":[["2012",1]]}}}],"schema":"https://github.com/citation-style-language/schema/raw/master/csl-citation.json"} </w:instrText>
            </w:r>
            <w:r w:rsidR="00785FEE" w:rsidRPr="009B66A4">
              <w:rPr>
                <w:rFonts w:ascii="Calibri" w:eastAsia="Times New Roman" w:hAnsi="Calibri" w:cs="Calibri"/>
                <w:kern w:val="0"/>
                <w:sz w:val="20"/>
                <w:szCs w:val="20"/>
                <w14:ligatures w14:val="none"/>
              </w:rPr>
              <w:fldChar w:fldCharType="separate"/>
            </w:r>
            <w:r w:rsidR="00E070BD" w:rsidRPr="009B66A4">
              <w:rPr>
                <w:rFonts w:ascii="Calibri" w:hAnsi="Calibri" w:cs="Calibri"/>
                <w:sz w:val="20"/>
                <w:szCs w:val="20"/>
              </w:rPr>
              <w:t>[112]</w:t>
            </w:r>
            <w:r w:rsidR="00785FE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2BF2BB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4AFDE73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noWrap/>
            <w:hideMark/>
          </w:tcPr>
          <w:p w14:paraId="099C4F5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C9BDF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2EA202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ADF38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w:t>
            </w:r>
          </w:p>
        </w:tc>
        <w:tc>
          <w:tcPr>
            <w:tcW w:w="1682" w:type="dxa"/>
            <w:noWrap/>
            <w:vAlign w:val="center"/>
            <w:hideMark/>
          </w:tcPr>
          <w:p w14:paraId="20900DE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13.7 (Range: 9 – 19)</w:t>
            </w:r>
          </w:p>
        </w:tc>
        <w:tc>
          <w:tcPr>
            <w:tcW w:w="1394" w:type="dxa"/>
            <w:noWrap/>
            <w:vAlign w:val="center"/>
            <w:hideMark/>
          </w:tcPr>
          <w:p w14:paraId="5171A0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F364C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 (100%)</w:t>
            </w:r>
          </w:p>
        </w:tc>
        <w:tc>
          <w:tcPr>
            <w:tcW w:w="1394" w:type="dxa"/>
            <w:noWrap/>
            <w:vAlign w:val="center"/>
            <w:hideMark/>
          </w:tcPr>
          <w:p w14:paraId="311FE1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F0C3A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D78A59A" w14:textId="77777777" w:rsidTr="00A3759F">
        <w:trPr>
          <w:trHeight w:val="20"/>
        </w:trPr>
        <w:tc>
          <w:tcPr>
            <w:tcW w:w="1444" w:type="dxa"/>
            <w:noWrap/>
            <w:vAlign w:val="center"/>
            <w:hideMark/>
          </w:tcPr>
          <w:p w14:paraId="06C7C43E" w14:textId="2512140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Giesbers, 2012</w:t>
            </w:r>
            <w:r w:rsidR="00E070BD" w:rsidRPr="009B66A4">
              <w:rPr>
                <w:rFonts w:ascii="Calibri" w:eastAsia="Times New Roman" w:hAnsi="Calibri" w:cs="Calibri"/>
                <w:kern w:val="0"/>
                <w:sz w:val="20"/>
                <w:szCs w:val="20"/>
                <w14:ligatures w14:val="none"/>
              </w:rPr>
              <w:fldChar w:fldCharType="begin"/>
            </w:r>
            <w:r w:rsidR="00B256DE" w:rsidRPr="009B66A4">
              <w:rPr>
                <w:rFonts w:ascii="Calibri" w:eastAsia="Times New Roman" w:hAnsi="Calibri" w:cs="Calibri"/>
                <w:kern w:val="0"/>
                <w:sz w:val="20"/>
                <w:szCs w:val="20"/>
                <w14:ligatures w14:val="none"/>
              </w:rPr>
              <w:instrText xml:space="preserve"> ADDIN ZOTERO_ITEM CSL_CITATION {"citationID":"4u84qBON","properties":{"formattedCitation":"[113]","plainCitation":"[113]","noteIndex":0},"citationItems":[{"id":3478,"uris":["http://zotero.org/users/11896629/items/7CZFIY7W"],"itemData":{"id":3478,"type":"article-journal","container-title":"Journal of Developmental and Physical Disabilities","DOI":"10.1007/s10882-012-9271-7","ISSN":"1056-263X, 1573-3580","issue":"3","journalAbbreviation":"J Dev Phys Disabil","language":"en","page":"287-300","source":"DOI.org (Crossref)","title":"Incontinence in Individuals with Rett Syndrome: A Comparative Study","title-short":"Incontinence in Individuals with Rett Syndrome","volume":"24","author":[{"family":"Giesbers","given":"Sanne"},{"family":"Didden","given":"Robert"},{"family":"Radstaake","given":"Maartje"},{"family":"Korzilius","given":"Hubert"},{"family":"Von Gontard","given":"Alexander"},{"family":"Lang","given":"Russell"},{"family":"Smeets","given":"Eric"},{"family":"Curfs","given":"Leopold M. G."}],"issued":{"date-parts":[["2012",6]]}}}],"schema":"https://github.com/citation-style-language/schema/raw/master/csl-citation.json"} </w:instrText>
            </w:r>
            <w:r w:rsidR="00E070BD" w:rsidRPr="009B66A4">
              <w:rPr>
                <w:rFonts w:ascii="Calibri" w:eastAsia="Times New Roman" w:hAnsi="Calibri" w:cs="Calibri"/>
                <w:kern w:val="0"/>
                <w:sz w:val="20"/>
                <w:szCs w:val="20"/>
                <w14:ligatures w14:val="none"/>
              </w:rPr>
              <w:fldChar w:fldCharType="separate"/>
            </w:r>
            <w:r w:rsidR="00B256DE" w:rsidRPr="009B66A4">
              <w:rPr>
                <w:rFonts w:ascii="Calibri" w:hAnsi="Calibri" w:cs="Calibri"/>
                <w:sz w:val="20"/>
                <w:szCs w:val="20"/>
              </w:rPr>
              <w:t>[113]</w:t>
            </w:r>
            <w:r w:rsidR="00E070B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8C042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Denmark</w:t>
            </w:r>
          </w:p>
        </w:tc>
        <w:tc>
          <w:tcPr>
            <w:tcW w:w="1316" w:type="dxa"/>
            <w:noWrap/>
            <w:vAlign w:val="center"/>
            <w:hideMark/>
          </w:tcPr>
          <w:p w14:paraId="42C935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noWrap/>
            <w:vAlign w:val="center"/>
            <w:hideMark/>
          </w:tcPr>
          <w:p w14:paraId="3C27BE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BD2DDD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39621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181D18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63</w:t>
            </w:r>
          </w:p>
        </w:tc>
        <w:tc>
          <w:tcPr>
            <w:tcW w:w="1682" w:type="dxa"/>
            <w:noWrap/>
            <w:vAlign w:val="center"/>
            <w:hideMark/>
          </w:tcPr>
          <w:p w14:paraId="1C4FAFB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19.34 (11.39)</w:t>
            </w:r>
          </w:p>
        </w:tc>
        <w:tc>
          <w:tcPr>
            <w:tcW w:w="1394" w:type="dxa"/>
            <w:noWrap/>
            <w:vAlign w:val="center"/>
            <w:hideMark/>
          </w:tcPr>
          <w:p w14:paraId="3813BA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7F1DF0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63 (100%)</w:t>
            </w:r>
          </w:p>
        </w:tc>
        <w:tc>
          <w:tcPr>
            <w:tcW w:w="1394" w:type="dxa"/>
            <w:noWrap/>
            <w:vAlign w:val="center"/>
            <w:hideMark/>
          </w:tcPr>
          <w:p w14:paraId="4504FA5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49 (79.0%)</w:t>
            </w:r>
          </w:p>
        </w:tc>
        <w:tc>
          <w:tcPr>
            <w:tcW w:w="1438" w:type="dxa"/>
            <w:noWrap/>
            <w:vAlign w:val="center"/>
            <w:hideMark/>
          </w:tcPr>
          <w:p w14:paraId="6B0582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414B785" w14:textId="77777777" w:rsidTr="00A3759F">
        <w:trPr>
          <w:trHeight w:val="20"/>
        </w:trPr>
        <w:tc>
          <w:tcPr>
            <w:tcW w:w="1444" w:type="dxa"/>
            <w:noWrap/>
            <w:vAlign w:val="center"/>
            <w:hideMark/>
          </w:tcPr>
          <w:p w14:paraId="2875F3C4" w14:textId="5F3BE49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Han, 2012</w:t>
            </w:r>
            <w:r w:rsidR="00B256DE" w:rsidRPr="009B66A4">
              <w:rPr>
                <w:rFonts w:ascii="Calibri" w:eastAsia="Times New Roman" w:hAnsi="Calibri" w:cs="Calibri"/>
                <w:kern w:val="0"/>
                <w:sz w:val="20"/>
                <w:szCs w:val="20"/>
                <w14:ligatures w14:val="none"/>
              </w:rPr>
              <w:fldChar w:fldCharType="begin"/>
            </w:r>
            <w:r w:rsidR="00724E6F" w:rsidRPr="009B66A4">
              <w:rPr>
                <w:rFonts w:ascii="Calibri" w:eastAsia="Times New Roman" w:hAnsi="Calibri" w:cs="Calibri"/>
                <w:kern w:val="0"/>
                <w:sz w:val="20"/>
                <w:szCs w:val="20"/>
                <w14:ligatures w14:val="none"/>
              </w:rPr>
              <w:instrText xml:space="preserve"> ADDIN ZOTERO_ITEM CSL_CITATION {"citationID":"2qcHvqEA","properties":{"formattedCitation":"[114]","plainCitation":"[114]","noteIndex":0},"citationItems":[{"id":3480,"uris":["http://zotero.org/users/11896629/items/W94LU479"],"itemData":{"id":3480,"type":"article-journal","container-title":"Annals of Rehabilitation Medicine","DOI":"10.5535/arm.2012.36.3.334","ISSN":"2234-0645, 2234-0653","issue":"3","journalAbbreviation":"Ann Rehabil Med","language":"en","license":"http://creativecommons.org/licenses/by-nc/3.0/","page":"334","source":"DOI.org (Crossref)","title":"Clinical Characteristics of Children with Rett Syndrome","volume":"36","author":[{"family":"Han","given":"Zee-A"},{"family":"Jeon","given":"Ha Ra"},{"family":"Kim","given":"Seong Woo"},{"family":"Park","given":"Jin Young"},{"family":"Chung","given":"Hee Jung"}],"issued":{"date-parts":[["2012"]]}}}],"schema":"https://github.com/citation-style-language/schema/raw/master/csl-citation.json"} </w:instrText>
            </w:r>
            <w:r w:rsidR="00B256DE" w:rsidRPr="009B66A4">
              <w:rPr>
                <w:rFonts w:ascii="Calibri" w:eastAsia="Times New Roman" w:hAnsi="Calibri" w:cs="Calibri"/>
                <w:kern w:val="0"/>
                <w:sz w:val="20"/>
                <w:szCs w:val="20"/>
                <w14:ligatures w14:val="none"/>
              </w:rPr>
              <w:fldChar w:fldCharType="separate"/>
            </w:r>
            <w:r w:rsidR="00724E6F" w:rsidRPr="009B66A4">
              <w:rPr>
                <w:rFonts w:ascii="Calibri" w:hAnsi="Calibri" w:cs="Calibri"/>
                <w:sz w:val="20"/>
                <w:szCs w:val="20"/>
              </w:rPr>
              <w:t>[114]</w:t>
            </w:r>
            <w:r w:rsidR="00B256D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015727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Korea</w:t>
            </w:r>
          </w:p>
        </w:tc>
        <w:tc>
          <w:tcPr>
            <w:tcW w:w="1316" w:type="dxa"/>
            <w:noWrap/>
            <w:vAlign w:val="center"/>
            <w:hideMark/>
          </w:tcPr>
          <w:p w14:paraId="61D5AF1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5DAA564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ABD9F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78DFE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D7845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26</w:t>
            </w:r>
          </w:p>
        </w:tc>
        <w:tc>
          <w:tcPr>
            <w:tcW w:w="1682" w:type="dxa"/>
            <w:noWrap/>
            <w:vAlign w:val="center"/>
            <w:hideMark/>
          </w:tcPr>
          <w:p w14:paraId="3A009D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60.4 months (Range: 18 to 176 months)</w:t>
            </w:r>
          </w:p>
        </w:tc>
        <w:tc>
          <w:tcPr>
            <w:tcW w:w="1394" w:type="dxa"/>
            <w:noWrap/>
            <w:vAlign w:val="center"/>
            <w:hideMark/>
          </w:tcPr>
          <w:p w14:paraId="44A1D0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EBE19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DF5D00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26 (100%)</w:t>
            </w:r>
          </w:p>
        </w:tc>
        <w:tc>
          <w:tcPr>
            <w:tcW w:w="1438" w:type="dxa"/>
            <w:noWrap/>
            <w:vAlign w:val="center"/>
            <w:hideMark/>
          </w:tcPr>
          <w:p w14:paraId="4A3952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0846248" w14:textId="77777777" w:rsidTr="00A3759F">
        <w:trPr>
          <w:trHeight w:val="20"/>
        </w:trPr>
        <w:tc>
          <w:tcPr>
            <w:tcW w:w="1444" w:type="dxa"/>
            <w:noWrap/>
            <w:vAlign w:val="center"/>
            <w:hideMark/>
          </w:tcPr>
          <w:p w14:paraId="79D1161F" w14:textId="6CC8CEB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Krajnc, 2011</w:t>
            </w:r>
            <w:r w:rsidR="00724E6F" w:rsidRPr="009B66A4">
              <w:rPr>
                <w:rFonts w:ascii="Calibri" w:eastAsia="Times New Roman" w:hAnsi="Calibri" w:cs="Calibri"/>
                <w:kern w:val="0"/>
                <w:sz w:val="20"/>
                <w:szCs w:val="20"/>
                <w14:ligatures w14:val="none"/>
              </w:rPr>
              <w:fldChar w:fldCharType="begin"/>
            </w:r>
            <w:r w:rsidR="0026151D" w:rsidRPr="009B66A4">
              <w:rPr>
                <w:rFonts w:ascii="Calibri" w:eastAsia="Times New Roman" w:hAnsi="Calibri" w:cs="Calibri"/>
                <w:kern w:val="0"/>
                <w:sz w:val="20"/>
                <w:szCs w:val="20"/>
                <w14:ligatures w14:val="none"/>
              </w:rPr>
              <w:instrText xml:space="preserve"> ADDIN ZOTERO_ITEM CSL_CITATION {"citationID":"G7sGdUGx","properties":{"formattedCitation":"[115]","plainCitation":"[115]","noteIndex":0},"citationItems":[{"id":3482,"uris":["http://zotero.org/users/11896629/items/SHZ3PUA2"],"itemData":{"id":3482,"type":"article-journal","abstract":"Rett syndrome is a neurodevelopmental disorder predominately affecting females. The majority of patients have epilepsy in the early stages of the disease. This study evaluates the clinical course of epilepsy and the effect of antiepileptic drug treatment in Rett syndrome using retrospective data analysis. Epilepsy was present in 16 of 19 (84%) patients with Rett syndrome in this series. The mean age of seizure onset was 4 years. Remission of seizures was achieved after the first monotherapy in 56% and after the second monotherapy in 18.5% of patients. Valproate, lamotrigine, and carbamazepine were the drugs used most frequently as monotherapy. Valproate monotherapy was highly effective as 75% of treated patients achieved seizure remission. Monotherapy with lamotrigine or carbamazepine was effective in half of the treated patients. There was a clear tendency toward seizure remission after the age of 15 years.","container-title":"Journal of Child Neurology","DOI":"10.1177/0883073811408422","ISSN":"0883-0738, 1708-8283","issue":"11","journalAbbreviation":"J Child Neurol","language":"en","page":"1429-1433","source":"DOI.org (Crossref)","title":"Epilepsy Treatment in Rett Syndrome","volume":"26","author":[{"family":"Krajnc","given":"Natalija"},{"family":"Župančič","given":"Neža"},{"family":"Oražem","given":"Jasna"}],"issued":{"date-parts":[["2011",11]]}}}],"schema":"https://github.com/citation-style-language/schema/raw/master/csl-citation.json"} </w:instrText>
            </w:r>
            <w:r w:rsidR="00724E6F" w:rsidRPr="009B66A4">
              <w:rPr>
                <w:rFonts w:ascii="Calibri" w:eastAsia="Times New Roman" w:hAnsi="Calibri" w:cs="Calibri"/>
                <w:kern w:val="0"/>
                <w:sz w:val="20"/>
                <w:szCs w:val="20"/>
                <w14:ligatures w14:val="none"/>
              </w:rPr>
              <w:fldChar w:fldCharType="separate"/>
            </w:r>
            <w:r w:rsidR="0026151D" w:rsidRPr="009B66A4">
              <w:rPr>
                <w:rFonts w:ascii="Calibri" w:hAnsi="Calibri" w:cs="Calibri"/>
                <w:sz w:val="20"/>
                <w:szCs w:val="20"/>
              </w:rPr>
              <w:t>[115]</w:t>
            </w:r>
            <w:r w:rsidR="00724E6F"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54A94E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Slovenia</w:t>
            </w:r>
          </w:p>
        </w:tc>
        <w:tc>
          <w:tcPr>
            <w:tcW w:w="1316" w:type="dxa"/>
            <w:noWrap/>
            <w:vAlign w:val="center"/>
            <w:hideMark/>
          </w:tcPr>
          <w:p w14:paraId="7940371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2F8D61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5DDE07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9D1BE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E84D1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19</w:t>
            </w:r>
          </w:p>
        </w:tc>
        <w:tc>
          <w:tcPr>
            <w:tcW w:w="1682" w:type="dxa"/>
            <w:noWrap/>
            <w:vAlign w:val="center"/>
            <w:hideMark/>
          </w:tcPr>
          <w:p w14:paraId="786D53C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15.5 years (Range 3.5 – 30.5 years)</w:t>
            </w:r>
          </w:p>
        </w:tc>
        <w:tc>
          <w:tcPr>
            <w:tcW w:w="1394" w:type="dxa"/>
            <w:noWrap/>
            <w:vAlign w:val="center"/>
            <w:hideMark/>
          </w:tcPr>
          <w:p w14:paraId="153504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2DF082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19 (100%)</w:t>
            </w:r>
          </w:p>
        </w:tc>
        <w:tc>
          <w:tcPr>
            <w:tcW w:w="1394" w:type="dxa"/>
            <w:noWrap/>
            <w:vAlign w:val="center"/>
            <w:hideMark/>
          </w:tcPr>
          <w:p w14:paraId="7ECA9F3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 (73.68%)</w:t>
            </w:r>
          </w:p>
        </w:tc>
        <w:tc>
          <w:tcPr>
            <w:tcW w:w="1438" w:type="dxa"/>
            <w:noWrap/>
            <w:vAlign w:val="center"/>
            <w:hideMark/>
          </w:tcPr>
          <w:p w14:paraId="3E4B0E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9B0AD45" w14:textId="77777777" w:rsidTr="00A3759F">
        <w:trPr>
          <w:trHeight w:val="20"/>
        </w:trPr>
        <w:tc>
          <w:tcPr>
            <w:tcW w:w="1444" w:type="dxa"/>
            <w:vMerge w:val="restart"/>
            <w:noWrap/>
            <w:vAlign w:val="center"/>
            <w:hideMark/>
          </w:tcPr>
          <w:p w14:paraId="51BB55BF" w14:textId="6E6A491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Jefferson, 2011</w:t>
            </w:r>
            <w:r w:rsidR="0026151D" w:rsidRPr="009B66A4">
              <w:rPr>
                <w:rFonts w:ascii="Calibri" w:eastAsia="Times New Roman" w:hAnsi="Calibri" w:cs="Calibri"/>
                <w:kern w:val="0"/>
                <w:sz w:val="20"/>
                <w:szCs w:val="20"/>
                <w14:ligatures w14:val="none"/>
              </w:rPr>
              <w:fldChar w:fldCharType="begin"/>
            </w:r>
            <w:r w:rsidR="00077E41" w:rsidRPr="009B66A4">
              <w:rPr>
                <w:rFonts w:ascii="Calibri" w:eastAsia="Times New Roman" w:hAnsi="Calibri" w:cs="Calibri"/>
                <w:kern w:val="0"/>
                <w:sz w:val="20"/>
                <w:szCs w:val="20"/>
                <w14:ligatures w14:val="none"/>
              </w:rPr>
              <w:instrText xml:space="preserve"> ADDIN ZOTERO_ITEM CSL_CITATION {"citationID":"wIR2WOjg","properties":{"formattedCitation":"[116]","plainCitation":"[116]","noteIndex":0},"citationItems":[{"id":3483,"uris":["http://zotero.org/users/11896629/items/ITS3V3UL"],"itemData":{"id":3483,"type":"article-journal","container-title":"Pediatric Research","DOI":"10.1203/PDR.0b013e31820b937d","ISSN":"0031-3998, 1530-0447","issue":"4","journalAbbreviation":"Pediatr Res","page":"293-298","source":"DOI.org (Crossref)","title":"Bone Mineral Content and Density in Rett Syndrome and Their Contributing Factors","volume":"69","author":[{"family":"Jefferson","given":"Amanda L"},{"family":"Woodhead","given":"Helen J"},{"family":"Fyfe","given":"Sue"},{"family":"Briody","given":"Julie"},{"family":"Bebbington","given":"Ami"},{"family":"Strauss","given":"Boyd J"},{"family":"Jacoby","given":"Peter"},{"family":"Leonard","given":"Helen"}],"issued":{"date-parts":[["2011",4]]}}}],"schema":"https://github.com/citation-style-language/schema/raw/master/csl-citation.json"} </w:instrText>
            </w:r>
            <w:r w:rsidR="0026151D" w:rsidRPr="009B66A4">
              <w:rPr>
                <w:rFonts w:ascii="Calibri" w:eastAsia="Times New Roman" w:hAnsi="Calibri" w:cs="Calibri"/>
                <w:kern w:val="0"/>
                <w:sz w:val="20"/>
                <w:szCs w:val="20"/>
                <w14:ligatures w14:val="none"/>
              </w:rPr>
              <w:fldChar w:fldCharType="separate"/>
            </w:r>
            <w:r w:rsidR="00077E41" w:rsidRPr="009B66A4">
              <w:rPr>
                <w:rFonts w:ascii="Calibri" w:hAnsi="Calibri" w:cs="Calibri"/>
                <w:sz w:val="20"/>
                <w:szCs w:val="20"/>
              </w:rPr>
              <w:t>[116]</w:t>
            </w:r>
            <w:r w:rsidR="0026151D"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1AD568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vMerge w:val="restart"/>
            <w:noWrap/>
            <w:vAlign w:val="center"/>
            <w:hideMark/>
          </w:tcPr>
          <w:p w14:paraId="080F9C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hideMark/>
          </w:tcPr>
          <w:p w14:paraId="59F0F9D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0CAE34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122E77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1BA837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274</w:t>
            </w:r>
          </w:p>
        </w:tc>
        <w:tc>
          <w:tcPr>
            <w:tcW w:w="1682" w:type="dxa"/>
            <w:vAlign w:val="center"/>
            <w:hideMark/>
          </w:tcPr>
          <w:p w14:paraId="1F5714F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Bone study group: 15.00 (7.16)</w:t>
            </w:r>
          </w:p>
        </w:tc>
        <w:tc>
          <w:tcPr>
            <w:tcW w:w="1394" w:type="dxa"/>
            <w:vMerge w:val="restart"/>
            <w:vAlign w:val="center"/>
            <w:hideMark/>
          </w:tcPr>
          <w:p w14:paraId="6ACB77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Bone study group: 0</w:t>
            </w:r>
          </w:p>
        </w:tc>
        <w:tc>
          <w:tcPr>
            <w:tcW w:w="1394" w:type="dxa"/>
            <w:vMerge w:val="restart"/>
            <w:vAlign w:val="center"/>
            <w:hideMark/>
          </w:tcPr>
          <w:p w14:paraId="1ABC34E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Bone study group: 97 (100%)</w:t>
            </w:r>
          </w:p>
        </w:tc>
        <w:tc>
          <w:tcPr>
            <w:tcW w:w="1394" w:type="dxa"/>
            <w:vMerge w:val="restart"/>
            <w:vAlign w:val="center"/>
            <w:hideMark/>
          </w:tcPr>
          <w:p w14:paraId="4145FC7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vAlign w:val="center"/>
            <w:hideMark/>
          </w:tcPr>
          <w:p w14:paraId="34F297A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8D90402" w14:textId="77777777" w:rsidTr="00A3759F">
        <w:trPr>
          <w:trHeight w:val="20"/>
        </w:trPr>
        <w:tc>
          <w:tcPr>
            <w:tcW w:w="1444" w:type="dxa"/>
            <w:vMerge/>
            <w:vAlign w:val="center"/>
            <w:hideMark/>
          </w:tcPr>
          <w:p w14:paraId="69F4147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53C228B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AA0EE9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AEED9B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68235C2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F925A9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CAA55A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4DA5D39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Remainder of Rett syndrome population &gt;4 y: 10.09 (7.10)</w:t>
            </w:r>
          </w:p>
        </w:tc>
        <w:tc>
          <w:tcPr>
            <w:tcW w:w="1394" w:type="dxa"/>
            <w:vMerge/>
            <w:vAlign w:val="center"/>
            <w:hideMark/>
          </w:tcPr>
          <w:p w14:paraId="6DB350D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33089F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82A98E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2539E37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FBE69A1" w14:textId="77777777" w:rsidTr="00A3759F">
        <w:trPr>
          <w:trHeight w:val="20"/>
        </w:trPr>
        <w:tc>
          <w:tcPr>
            <w:tcW w:w="1444" w:type="dxa"/>
            <w:noWrap/>
            <w:vAlign w:val="center"/>
            <w:hideMark/>
          </w:tcPr>
          <w:p w14:paraId="787B9325" w14:textId="29F99B0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Roende, 2011</w:t>
            </w:r>
            <w:r w:rsidR="00077E41" w:rsidRPr="009B66A4">
              <w:rPr>
                <w:rFonts w:ascii="Calibri" w:eastAsia="Times New Roman" w:hAnsi="Calibri" w:cs="Calibri"/>
                <w:kern w:val="0"/>
                <w:sz w:val="20"/>
                <w:szCs w:val="20"/>
                <w14:ligatures w14:val="none"/>
              </w:rPr>
              <w:fldChar w:fldCharType="begin"/>
            </w:r>
            <w:r w:rsidR="00695B8B" w:rsidRPr="009B66A4">
              <w:rPr>
                <w:rFonts w:ascii="Calibri" w:eastAsia="Times New Roman" w:hAnsi="Calibri" w:cs="Calibri"/>
                <w:kern w:val="0"/>
                <w:sz w:val="20"/>
                <w:szCs w:val="20"/>
                <w14:ligatures w14:val="none"/>
              </w:rPr>
              <w:instrText xml:space="preserve"> ADDIN ZOTERO_ITEM CSL_CITATION {"citationID":"O8kHn6t2","properties":{"formattedCitation":"[117]","plainCitation":"[117]","noteIndex":0},"citationItems":[{"id":3484,"uris":["http://zotero.org/users/11896629/items/28298BPZ"],"itemData":{"id":3484,"type":"article-journal","container-title":"Pediatric Research","DOI":"10.1203/PDR.0b013e31820bc6d3","ISSN":"0031-3998, 1530-0447","issue":"4","journalAbbreviation":"Pediatr Res","page":"359-364","source":"DOI.org (Crossref)","title":"Patients With Rett Syndrome Sustain Low-Energy Fractures","volume":"69","author":[{"family":"Roende","given":"Gitte"},{"family":"Ravn","given":"Kirstine"},{"family":"Fuglsang","given":"Kathrine"},{"family":"Andersen","given":"Henrik"},{"family":"Vestergaard","given":"Aage"},{"family":"BrøNdum-Nielsen","given":"Karen"},{"family":"Jensen","given":"Jens-Erik Beck"},{"family":"Nielsen","given":"Jytte Bieber"}],"issued":{"date-parts":[["2011",4]]}}}],"schema":"https://github.com/citation-style-language/schema/raw/master/csl-citation.json"} </w:instrText>
            </w:r>
            <w:r w:rsidR="00077E41" w:rsidRPr="009B66A4">
              <w:rPr>
                <w:rFonts w:ascii="Calibri" w:eastAsia="Times New Roman" w:hAnsi="Calibri" w:cs="Calibri"/>
                <w:kern w:val="0"/>
                <w:sz w:val="20"/>
                <w:szCs w:val="20"/>
                <w14:ligatures w14:val="none"/>
              </w:rPr>
              <w:fldChar w:fldCharType="separate"/>
            </w:r>
            <w:r w:rsidR="00695B8B" w:rsidRPr="009B66A4">
              <w:rPr>
                <w:rFonts w:ascii="Calibri" w:hAnsi="Calibri" w:cs="Calibri"/>
                <w:sz w:val="20"/>
                <w:szCs w:val="20"/>
              </w:rPr>
              <w:t>[117]</w:t>
            </w:r>
            <w:r w:rsidR="00077E41"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7C8EB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Denmark</w:t>
            </w:r>
          </w:p>
        </w:tc>
        <w:tc>
          <w:tcPr>
            <w:tcW w:w="1316" w:type="dxa"/>
            <w:noWrap/>
            <w:vAlign w:val="center"/>
            <w:hideMark/>
          </w:tcPr>
          <w:p w14:paraId="31F2029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noWrap/>
            <w:hideMark/>
          </w:tcPr>
          <w:p w14:paraId="2C5B643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920F6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109AF9B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46A78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w:t>
            </w:r>
          </w:p>
        </w:tc>
        <w:tc>
          <w:tcPr>
            <w:tcW w:w="1682" w:type="dxa"/>
            <w:noWrap/>
            <w:vAlign w:val="center"/>
            <w:hideMark/>
          </w:tcPr>
          <w:p w14:paraId="239CFD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58C233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2D497F5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 (100%)</w:t>
            </w:r>
          </w:p>
        </w:tc>
        <w:tc>
          <w:tcPr>
            <w:tcW w:w="1394" w:type="dxa"/>
            <w:noWrap/>
            <w:vAlign w:val="center"/>
            <w:hideMark/>
          </w:tcPr>
          <w:p w14:paraId="77A6CD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61 (100%)</w:t>
            </w:r>
          </w:p>
        </w:tc>
        <w:tc>
          <w:tcPr>
            <w:tcW w:w="1438" w:type="dxa"/>
            <w:noWrap/>
            <w:vAlign w:val="center"/>
            <w:hideMark/>
          </w:tcPr>
          <w:p w14:paraId="552677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8AED3E0" w14:textId="77777777" w:rsidTr="00A3759F">
        <w:trPr>
          <w:trHeight w:val="20"/>
        </w:trPr>
        <w:tc>
          <w:tcPr>
            <w:tcW w:w="1444" w:type="dxa"/>
            <w:noWrap/>
            <w:vAlign w:val="center"/>
            <w:hideMark/>
          </w:tcPr>
          <w:p w14:paraId="06E71178" w14:textId="71F0532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Riise, 2011</w:t>
            </w:r>
            <w:r w:rsidR="00695B8B" w:rsidRPr="009B66A4">
              <w:rPr>
                <w:rFonts w:ascii="Calibri" w:eastAsia="Times New Roman" w:hAnsi="Calibri" w:cs="Calibri"/>
                <w:kern w:val="0"/>
                <w:sz w:val="20"/>
                <w:szCs w:val="20"/>
                <w14:ligatures w14:val="none"/>
              </w:rPr>
              <w:fldChar w:fldCharType="begin"/>
            </w:r>
            <w:r w:rsidR="00FF4DD0" w:rsidRPr="009B66A4">
              <w:rPr>
                <w:rFonts w:ascii="Calibri" w:eastAsia="Times New Roman" w:hAnsi="Calibri" w:cs="Calibri"/>
                <w:kern w:val="0"/>
                <w:sz w:val="20"/>
                <w:szCs w:val="20"/>
                <w14:ligatures w14:val="none"/>
              </w:rPr>
              <w:instrText xml:space="preserve"> ADDIN ZOTERO_ITEM CSL_CITATION {"citationID":"67yxLnSs","properties":{"formattedCitation":"[118]","plainCitation":"[118]","noteIndex":0},"citationItems":[{"id":3485,"uris":["http://zotero.org/users/11896629/items/J6YNB7PV"],"itemData":{"id":3485,"type":"article-journal","container-title":"Developmental Medicine &amp; Child Neurology","DOI":"10.1111/j.1469-8749.2011.03935.x","ISSN":"00121622","issue":"7","language":"en","license":"http://doi.wiley.com/10.1002/tdm_license_1","page":"653-657","source":"DOI.org (Crossref)","title":"Spinal deformity and disability in patients with Rett syndrome: Spinal Deformity and Disability in Patients with Rett Syndrome","title-short":"Spinal deformity and disability in patients with Rett syndrome","volume":"53","author":[{"family":"Riise","given":"Rolf"},{"family":"Brox","given":"Jens Ivar"},{"family":"Sorensen","given":"Roger"},{"family":"Skjeldal","given":"Ola H"}],"issued":{"date-parts":[["2011",7]]}}}],"schema":"https://github.com/citation-style-language/schema/raw/master/csl-citation.json"} </w:instrText>
            </w:r>
            <w:r w:rsidR="00695B8B" w:rsidRPr="009B66A4">
              <w:rPr>
                <w:rFonts w:ascii="Calibri" w:eastAsia="Times New Roman" w:hAnsi="Calibri" w:cs="Calibri"/>
                <w:kern w:val="0"/>
                <w:sz w:val="20"/>
                <w:szCs w:val="20"/>
                <w14:ligatures w14:val="none"/>
              </w:rPr>
              <w:fldChar w:fldCharType="separate"/>
            </w:r>
            <w:r w:rsidR="00FF4DD0" w:rsidRPr="009B66A4">
              <w:rPr>
                <w:rFonts w:ascii="Calibri" w:hAnsi="Calibri" w:cs="Calibri"/>
                <w:sz w:val="20"/>
                <w:szCs w:val="20"/>
              </w:rPr>
              <w:t>[118]</w:t>
            </w:r>
            <w:r w:rsidR="00695B8B"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995E31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Norway</w:t>
            </w:r>
          </w:p>
        </w:tc>
        <w:tc>
          <w:tcPr>
            <w:tcW w:w="1316" w:type="dxa"/>
            <w:noWrap/>
            <w:vAlign w:val="center"/>
            <w:hideMark/>
          </w:tcPr>
          <w:p w14:paraId="3636A4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694082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AE40B0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9874C1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667E7A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29</w:t>
            </w:r>
          </w:p>
        </w:tc>
        <w:tc>
          <w:tcPr>
            <w:tcW w:w="1682" w:type="dxa"/>
            <w:noWrap/>
            <w:vAlign w:val="center"/>
            <w:hideMark/>
          </w:tcPr>
          <w:p w14:paraId="1D3F946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B2CB1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CA40CF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29 (100%)</w:t>
            </w:r>
          </w:p>
        </w:tc>
        <w:tc>
          <w:tcPr>
            <w:tcW w:w="1394" w:type="dxa"/>
            <w:noWrap/>
            <w:vAlign w:val="center"/>
            <w:hideMark/>
          </w:tcPr>
          <w:p w14:paraId="6C9165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29 (100%)</w:t>
            </w:r>
          </w:p>
        </w:tc>
        <w:tc>
          <w:tcPr>
            <w:tcW w:w="1438" w:type="dxa"/>
            <w:noWrap/>
            <w:vAlign w:val="center"/>
            <w:hideMark/>
          </w:tcPr>
          <w:p w14:paraId="20F095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336E272" w14:textId="77777777" w:rsidTr="00A3759F">
        <w:trPr>
          <w:trHeight w:val="20"/>
        </w:trPr>
        <w:tc>
          <w:tcPr>
            <w:tcW w:w="1444" w:type="dxa"/>
            <w:noWrap/>
            <w:vAlign w:val="center"/>
            <w:hideMark/>
          </w:tcPr>
          <w:p w14:paraId="76031762" w14:textId="0E80A46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2011</w:t>
            </w:r>
            <w:r w:rsidR="00FF4DD0" w:rsidRPr="009B66A4">
              <w:rPr>
                <w:rFonts w:ascii="Calibri" w:eastAsia="Times New Roman" w:hAnsi="Calibri" w:cs="Calibri"/>
                <w:kern w:val="0"/>
                <w:sz w:val="20"/>
                <w:szCs w:val="20"/>
                <w14:ligatures w14:val="none"/>
              </w:rPr>
              <w:fldChar w:fldCharType="begin"/>
            </w:r>
            <w:r w:rsidR="003419DE" w:rsidRPr="009B66A4">
              <w:rPr>
                <w:rFonts w:ascii="Calibri" w:eastAsia="Times New Roman" w:hAnsi="Calibri" w:cs="Calibri"/>
                <w:kern w:val="0"/>
                <w:sz w:val="20"/>
                <w:szCs w:val="20"/>
                <w14:ligatures w14:val="none"/>
              </w:rPr>
              <w:instrText xml:space="preserve"> ADDIN ZOTERO_ITEM CSL_CITATION {"citationID":"8MVSzVPL","properties":{"formattedCitation":"[119]","plainCitation":"[119]","noteIndex":0},"citationItems":[{"id":3486,"uris":["http://zotero.org/users/11896629/items/ZD9V5P7K"],"itemData":{"id":3486,"type":"article-journal","abstract":"Loss of hand function is a core feature of Rett syndrome. This article describes longitudinal hand function at 3 time points for 72 subjects participating in the Australian Rett Syndrome Database. Approximately 40% of subjects with some grasping abilities lost skill over the 3- to 4-year period between video assessments. In these subjects, a decrease in hand function was seen less frequently in girls 13 to 19 years old than in those younger than 8 years, in subjects with some mobility compared with those who were wheelchair bound, and in those who had previously been able to finger feed. Relationships with the magnitude of change reflected these findings. Change in hand function did not vary with clinical severity. The results for all subjects were similar to results obtained when analysis was restricted to those with a pathogenic mutation. Variability in the longitudinal course of hand function in Rett syndrome was observed.","container-title":"Journal of Child Neurology","DOI":"10.1177/0883073810381920","ISSN":"0883-0738, 1708-8283","issue":"3","journalAbbreviation":"J Child Neurol","language":"en","page":"334-340","source":"DOI.org (Crossref)","title":"Longitudinal Hand Function in Rett Syndrome","volume":"26","author":[{"family":"Downs","given":"Jennepher"},{"family":"Bebbington","given":"Ami"},{"family":"Kaufmann","given":"Walter E."},{"family":"Leonard","given":"Helen"}],"issued":{"date-parts":[["2011",3]]}}}],"schema":"https://github.com/citation-style-language/schema/raw/master/csl-citation.json"} </w:instrText>
            </w:r>
            <w:r w:rsidR="00FF4DD0" w:rsidRPr="009B66A4">
              <w:rPr>
                <w:rFonts w:ascii="Calibri" w:eastAsia="Times New Roman" w:hAnsi="Calibri" w:cs="Calibri"/>
                <w:kern w:val="0"/>
                <w:sz w:val="20"/>
                <w:szCs w:val="20"/>
                <w14:ligatures w14:val="none"/>
              </w:rPr>
              <w:fldChar w:fldCharType="separate"/>
            </w:r>
            <w:r w:rsidR="003419DE" w:rsidRPr="009B66A4">
              <w:rPr>
                <w:rFonts w:ascii="Calibri" w:hAnsi="Calibri" w:cs="Calibri"/>
                <w:sz w:val="20"/>
                <w:szCs w:val="20"/>
              </w:rPr>
              <w:t>[119]</w:t>
            </w:r>
            <w:r w:rsidR="00FF4DD0"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FA4F0B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25B3FF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05610C9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772DA4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D18F89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20471E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72</w:t>
            </w:r>
          </w:p>
        </w:tc>
        <w:tc>
          <w:tcPr>
            <w:tcW w:w="1682" w:type="dxa"/>
            <w:noWrap/>
            <w:vAlign w:val="center"/>
            <w:hideMark/>
          </w:tcPr>
          <w:p w14:paraId="6F933AC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14.3 (Range 3.3 – 27.7)</w:t>
            </w:r>
          </w:p>
        </w:tc>
        <w:tc>
          <w:tcPr>
            <w:tcW w:w="1394" w:type="dxa"/>
            <w:noWrap/>
            <w:vAlign w:val="center"/>
            <w:hideMark/>
          </w:tcPr>
          <w:p w14:paraId="7E41FE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4BABB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ABF3F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51 (70.83%)</w:t>
            </w:r>
          </w:p>
        </w:tc>
        <w:tc>
          <w:tcPr>
            <w:tcW w:w="1438" w:type="dxa"/>
            <w:noWrap/>
            <w:vAlign w:val="center"/>
            <w:hideMark/>
          </w:tcPr>
          <w:p w14:paraId="26018422" w14:textId="721A597E"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Kerr score, mean (SD)(range): 16.5 (</w:t>
            </w:r>
            <w:r w:rsidR="00A3759F" w:rsidRPr="009B66A4">
              <w:rPr>
                <w:rFonts w:ascii="Calibri" w:eastAsia="Times New Roman" w:hAnsi="Calibri" w:cs="Calibri"/>
                <w:kern w:val="0"/>
                <w:sz w:val="20"/>
                <w:szCs w:val="20"/>
                <w14:ligatures w14:val="none"/>
              </w:rPr>
              <w:t>4.2) (</w:t>
            </w:r>
            <w:r w:rsidRPr="009B66A4">
              <w:rPr>
                <w:rFonts w:ascii="Calibri" w:eastAsia="Times New Roman" w:hAnsi="Calibri" w:cs="Calibri"/>
                <w:kern w:val="0"/>
                <w:sz w:val="20"/>
                <w:szCs w:val="20"/>
                <w14:ligatures w14:val="none"/>
              </w:rPr>
              <w:t>8-24)</w:t>
            </w:r>
          </w:p>
        </w:tc>
      </w:tr>
      <w:tr w:rsidR="00713B5E" w:rsidRPr="009B66A4" w14:paraId="11D0F4FC" w14:textId="77777777" w:rsidTr="00A3759F">
        <w:trPr>
          <w:trHeight w:val="20"/>
        </w:trPr>
        <w:tc>
          <w:tcPr>
            <w:tcW w:w="1444" w:type="dxa"/>
            <w:noWrap/>
            <w:vAlign w:val="center"/>
            <w:hideMark/>
          </w:tcPr>
          <w:p w14:paraId="0B99FDF1" w14:textId="150C4F4A"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Freilinger, 2011</w:t>
            </w:r>
            <w:r w:rsidR="003419DE" w:rsidRPr="009B66A4">
              <w:rPr>
                <w:rFonts w:ascii="Calibri" w:eastAsia="Times New Roman" w:hAnsi="Calibri" w:cs="Calibri"/>
                <w:kern w:val="0"/>
                <w:sz w:val="20"/>
                <w:szCs w:val="20"/>
                <w14:ligatures w14:val="none"/>
              </w:rPr>
              <w:fldChar w:fldCharType="begin"/>
            </w:r>
            <w:r w:rsidR="005361D4" w:rsidRPr="009B66A4">
              <w:rPr>
                <w:rFonts w:ascii="Calibri" w:eastAsia="Times New Roman" w:hAnsi="Calibri" w:cs="Calibri"/>
                <w:kern w:val="0"/>
                <w:sz w:val="20"/>
                <w:szCs w:val="20"/>
                <w14:ligatures w14:val="none"/>
              </w:rPr>
              <w:instrText xml:space="preserve"> ADDIN ZOTERO_ITEM CSL_CITATION {"citationID":"VxtctUCG","properties":{"formattedCitation":"[120]","plainCitation":"[120]","noteIndex":0},"citationItems":[{"id":3487,"uris":["http://zotero.org/users/11896629/items/IN7WFGJP"],"itemData":{"id":3487,"type":"article-journal","container-title":"Journal of Developmental &amp; Behavioral Pediatrics","DOI":"10.1097/DBP.0b013e31822177a8","ISSN":"0196-206X","issue":"6","language":"en","page":"454-460","source":"DOI.org (Crossref)","title":"Effects of Creatine Supplementation in Rett Syndrome: A Randomized, Placebo-Controlled Trial","title-short":"Effects of Creatine Supplementation in Rett Syndrome","volume":"32","author":[{"family":"Freilinger","given":"Michael"},{"family":"Dunkler","given":"Daniela"},{"family":"Lanator","given":"Ines"},{"family":"Item","given":"Chike Bellarmine"},{"family":"Mühl","given":"Adolf"},{"family":"Fowler","given":"Brian"},{"family":"Bodamer","given":"Olaf A."}],"issued":{"date-parts":[["2011",7]]}}}],"schema":"https://github.com/citation-style-language/schema/raw/master/csl-citation.json"} </w:instrText>
            </w:r>
            <w:r w:rsidR="003419DE" w:rsidRPr="009B66A4">
              <w:rPr>
                <w:rFonts w:ascii="Calibri" w:eastAsia="Times New Roman" w:hAnsi="Calibri" w:cs="Calibri"/>
                <w:kern w:val="0"/>
                <w:sz w:val="20"/>
                <w:szCs w:val="20"/>
                <w14:ligatures w14:val="none"/>
              </w:rPr>
              <w:fldChar w:fldCharType="separate"/>
            </w:r>
            <w:r w:rsidR="005361D4" w:rsidRPr="009B66A4">
              <w:rPr>
                <w:rFonts w:ascii="Calibri" w:hAnsi="Calibri" w:cs="Calibri"/>
                <w:sz w:val="20"/>
                <w:szCs w:val="20"/>
              </w:rPr>
              <w:t>[120]</w:t>
            </w:r>
            <w:r w:rsidR="003419DE" w:rsidRPr="009B66A4">
              <w:rPr>
                <w:rFonts w:ascii="Calibri" w:eastAsia="Times New Roman" w:hAnsi="Calibri" w:cs="Calibri"/>
                <w:kern w:val="0"/>
                <w:sz w:val="20"/>
                <w:szCs w:val="20"/>
                <w14:ligatures w14:val="none"/>
              </w:rPr>
              <w:fldChar w:fldCharType="end"/>
            </w:r>
          </w:p>
        </w:tc>
        <w:tc>
          <w:tcPr>
            <w:tcW w:w="1194" w:type="dxa"/>
            <w:vAlign w:val="center"/>
            <w:hideMark/>
          </w:tcPr>
          <w:p w14:paraId="2DAFC7D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Austria</w:t>
            </w:r>
          </w:p>
        </w:tc>
        <w:tc>
          <w:tcPr>
            <w:tcW w:w="1316" w:type="dxa"/>
            <w:vAlign w:val="center"/>
            <w:hideMark/>
          </w:tcPr>
          <w:p w14:paraId="4B91586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Clinical Trial</w:t>
            </w:r>
          </w:p>
        </w:tc>
        <w:tc>
          <w:tcPr>
            <w:tcW w:w="494" w:type="dxa"/>
            <w:noWrap/>
            <w:vAlign w:val="center"/>
            <w:hideMark/>
          </w:tcPr>
          <w:p w14:paraId="21F9E3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0A8FFB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509ECB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6EA684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w:t>
            </w:r>
          </w:p>
        </w:tc>
        <w:tc>
          <w:tcPr>
            <w:tcW w:w="1682" w:type="dxa"/>
            <w:vAlign w:val="center"/>
            <w:hideMark/>
          </w:tcPr>
          <w:p w14:paraId="19AEFF5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10.2 (Range: 3 – 25)</w:t>
            </w:r>
          </w:p>
        </w:tc>
        <w:tc>
          <w:tcPr>
            <w:tcW w:w="1394" w:type="dxa"/>
            <w:vAlign w:val="center"/>
            <w:hideMark/>
          </w:tcPr>
          <w:p w14:paraId="6986E2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76BBB5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 (100%)</w:t>
            </w:r>
          </w:p>
        </w:tc>
        <w:tc>
          <w:tcPr>
            <w:tcW w:w="1394" w:type="dxa"/>
            <w:vAlign w:val="center"/>
            <w:hideMark/>
          </w:tcPr>
          <w:p w14:paraId="1A2EB37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 (86%)</w:t>
            </w:r>
          </w:p>
        </w:tc>
        <w:tc>
          <w:tcPr>
            <w:tcW w:w="1438" w:type="dxa"/>
            <w:vAlign w:val="center"/>
            <w:hideMark/>
          </w:tcPr>
          <w:p w14:paraId="0CA7861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Kerr score, median (range): 16 (7–24)</w:t>
            </w:r>
          </w:p>
        </w:tc>
      </w:tr>
      <w:tr w:rsidR="00713B5E" w:rsidRPr="009B66A4" w14:paraId="3795D59C" w14:textId="77777777" w:rsidTr="00A3759F">
        <w:trPr>
          <w:trHeight w:val="20"/>
        </w:trPr>
        <w:tc>
          <w:tcPr>
            <w:tcW w:w="1444" w:type="dxa"/>
            <w:noWrap/>
            <w:vAlign w:val="center"/>
            <w:hideMark/>
          </w:tcPr>
          <w:p w14:paraId="185310FC" w14:textId="26B13975"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Bartolotta, 2011</w:t>
            </w:r>
            <w:r w:rsidR="005361D4" w:rsidRPr="009B66A4">
              <w:rPr>
                <w:rFonts w:ascii="Calibri" w:eastAsia="Times New Roman" w:hAnsi="Calibri" w:cs="Calibri"/>
                <w:kern w:val="0"/>
                <w:sz w:val="20"/>
                <w:szCs w:val="20"/>
                <w14:ligatures w14:val="none"/>
              </w:rPr>
              <w:fldChar w:fldCharType="begin"/>
            </w:r>
            <w:r w:rsidR="003145F9" w:rsidRPr="009B66A4">
              <w:rPr>
                <w:rFonts w:ascii="Calibri" w:eastAsia="Times New Roman" w:hAnsi="Calibri" w:cs="Calibri"/>
                <w:kern w:val="0"/>
                <w:sz w:val="20"/>
                <w:szCs w:val="20"/>
                <w14:ligatures w14:val="none"/>
              </w:rPr>
              <w:instrText xml:space="preserve"> ADDIN ZOTERO_ITEM CSL_CITATION {"citationID":"RFxEkvxt","properties":{"formattedCitation":"[121]","plainCitation":"[121]","noteIndex":0},"citationItems":[{"id":3488,"uris":["http://zotero.org/users/11896629/items/4SHGQCPL"],"itemData":{"id":3488,"type":"article-journal","abstract":"Rett Syndrome (RS) is an X-linked, neurodevelopmental disorder that occurs primarily in females and causes significant impairment in cognition, motor control, and communication. Teachers and speech-language pathologists (SLPs) encounter girls with RS with increasing frequency as awareness of the disorder increases, yet the literature on clinical interventions with this population is limited. Parents, teachers, and SLPs were surveyed regarding the communication abilities of these girls. Respondents reported that girls with RS use multiple modalities to communicate, with eye gaze the most frequently used modality, followed by picture/symbol systems and body movements. This study provides clinical information for professionals working with girls with RS, and supports the need for additional research on strategies to improve communication in RS.","container-title":"Focus on Autism and Other Developmental Disabilities","DOI":"10.1177/1088357610380042","ISSN":"1088-3576, 1538-4829","issue":"1","journalAbbreviation":"Focus Autism Other Dev Disabl","language":"en","page":"15-24","source":"DOI.org (Crossref)","title":"Communication Skills in Girls With Rett Syndrome","volume":"26","author":[{"family":"Bartolotta","given":"Theresa E."},{"family":"Zipp","given":"Genevieve P."},{"family":"Simpkins","given":"Susan D."},{"family":"Glazewski","given":"Barbara"}],"issued":{"date-parts":[["2011",3]]}}}],"schema":"https://github.com/citation-style-language/schema/raw/master/csl-citation.json"} </w:instrText>
            </w:r>
            <w:r w:rsidR="005361D4" w:rsidRPr="009B66A4">
              <w:rPr>
                <w:rFonts w:ascii="Calibri" w:eastAsia="Times New Roman" w:hAnsi="Calibri" w:cs="Calibri"/>
                <w:kern w:val="0"/>
                <w:sz w:val="20"/>
                <w:szCs w:val="20"/>
                <w14:ligatures w14:val="none"/>
              </w:rPr>
              <w:fldChar w:fldCharType="separate"/>
            </w:r>
            <w:r w:rsidR="003145F9" w:rsidRPr="009B66A4">
              <w:rPr>
                <w:rFonts w:ascii="Calibri" w:hAnsi="Calibri" w:cs="Calibri"/>
                <w:sz w:val="20"/>
                <w:szCs w:val="20"/>
              </w:rPr>
              <w:t>[121]</w:t>
            </w:r>
            <w:r w:rsidR="005361D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5BF582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United States, Canada, Australia, and several within Western Europe</w:t>
            </w:r>
          </w:p>
        </w:tc>
        <w:tc>
          <w:tcPr>
            <w:tcW w:w="1316" w:type="dxa"/>
            <w:noWrap/>
            <w:vAlign w:val="center"/>
            <w:hideMark/>
          </w:tcPr>
          <w:p w14:paraId="58A6C5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0E9778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679C0D2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8B15C1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7726F7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141</w:t>
            </w:r>
          </w:p>
        </w:tc>
        <w:tc>
          <w:tcPr>
            <w:tcW w:w="1682" w:type="dxa"/>
            <w:noWrap/>
            <w:vAlign w:val="center"/>
            <w:hideMark/>
          </w:tcPr>
          <w:p w14:paraId="2CE3BB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37918A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578CEA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141 (100%)</w:t>
            </w:r>
          </w:p>
        </w:tc>
        <w:tc>
          <w:tcPr>
            <w:tcW w:w="1394" w:type="dxa"/>
            <w:noWrap/>
            <w:vAlign w:val="center"/>
            <w:hideMark/>
          </w:tcPr>
          <w:p w14:paraId="669C4F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15995D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01F4715" w14:textId="77777777" w:rsidTr="00A3759F">
        <w:trPr>
          <w:trHeight w:val="20"/>
        </w:trPr>
        <w:tc>
          <w:tcPr>
            <w:tcW w:w="1444" w:type="dxa"/>
            <w:noWrap/>
            <w:vAlign w:val="center"/>
            <w:hideMark/>
          </w:tcPr>
          <w:p w14:paraId="0A30A4BB" w14:textId="011E67AD"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Leonard, 2010</w:t>
            </w:r>
            <w:r w:rsidR="003145F9" w:rsidRPr="009B66A4">
              <w:rPr>
                <w:rFonts w:ascii="Calibri" w:eastAsia="Times New Roman" w:hAnsi="Calibri" w:cs="Calibri"/>
                <w:kern w:val="0"/>
                <w:sz w:val="20"/>
                <w:szCs w:val="20"/>
                <w14:ligatures w14:val="none"/>
              </w:rPr>
              <w:fldChar w:fldCharType="begin"/>
            </w:r>
            <w:r w:rsidR="00AB6958" w:rsidRPr="009B66A4">
              <w:rPr>
                <w:rFonts w:ascii="Calibri" w:eastAsia="Times New Roman" w:hAnsi="Calibri" w:cs="Calibri"/>
                <w:kern w:val="0"/>
                <w:sz w:val="20"/>
                <w:szCs w:val="20"/>
                <w14:ligatures w14:val="none"/>
              </w:rPr>
              <w:instrText xml:space="preserve"> ADDIN ZOTERO_ITEM CSL_CITATION {"citationID":"0lriVL9J","properties":{"formattedCitation":"[122]","plainCitation":"[122]","noteIndex":0},"citationItems":[{"id":3489,"uris":["http://zotero.org/users/11896629/items/KN8ZDCEF"],"itemData":{"id":3489,"type":"article-journal","container-title":"Archives of Disease in Childhood","DOI":"10.1136/adc.2008.148932","ISSN":"0003-9888, 1468-2044","issue":"6","journalAbbreviation":"Archives of Disease in Childhood","language":"en","page":"444-448","source":"DOI.org (Crossref)","title":"Valproate and risk of fracture in Rett syndrome","volume":"95","author":[{"family":"Leonard","given":"H."},{"family":"Downs","given":"J."},{"family":"Jian","given":"L."},{"family":"Bebbington","given":"A."},{"family":"Jacoby","given":"P."},{"family":"Nagarajan","given":"L."},{"family":"Ravine","given":"D."},{"family":"Woodhead","given":"H."}],"issued":{"date-parts":[["2010",6,1]]}}}],"schema":"https://github.com/citation-style-language/schema/raw/master/csl-citation.json"} </w:instrText>
            </w:r>
            <w:r w:rsidR="003145F9" w:rsidRPr="009B66A4">
              <w:rPr>
                <w:rFonts w:ascii="Calibri" w:eastAsia="Times New Roman" w:hAnsi="Calibri" w:cs="Calibri"/>
                <w:kern w:val="0"/>
                <w:sz w:val="20"/>
                <w:szCs w:val="20"/>
                <w14:ligatures w14:val="none"/>
              </w:rPr>
              <w:fldChar w:fldCharType="separate"/>
            </w:r>
            <w:r w:rsidR="00AB6958" w:rsidRPr="009B66A4">
              <w:rPr>
                <w:rFonts w:ascii="Calibri" w:hAnsi="Calibri" w:cs="Calibri"/>
                <w:sz w:val="20"/>
                <w:szCs w:val="20"/>
              </w:rPr>
              <w:t>[122]</w:t>
            </w:r>
            <w:r w:rsidR="003145F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72C525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4A603E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vAlign w:val="center"/>
            <w:hideMark/>
          </w:tcPr>
          <w:p w14:paraId="6942261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9BC74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DBC46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AF3FB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233</w:t>
            </w:r>
          </w:p>
        </w:tc>
        <w:tc>
          <w:tcPr>
            <w:tcW w:w="1682" w:type="dxa"/>
            <w:vAlign w:val="center"/>
            <w:hideMark/>
          </w:tcPr>
          <w:p w14:paraId="7CF271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14.7 (Range: 2 – 29)</w:t>
            </w:r>
          </w:p>
        </w:tc>
        <w:tc>
          <w:tcPr>
            <w:tcW w:w="1394" w:type="dxa"/>
            <w:noWrap/>
            <w:vAlign w:val="center"/>
            <w:hideMark/>
          </w:tcPr>
          <w:p w14:paraId="7C0083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AAF2A1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233 (100%)</w:t>
            </w:r>
          </w:p>
        </w:tc>
        <w:tc>
          <w:tcPr>
            <w:tcW w:w="1394" w:type="dxa"/>
            <w:noWrap/>
            <w:vAlign w:val="center"/>
            <w:hideMark/>
          </w:tcPr>
          <w:p w14:paraId="6CED7A2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164 (70.39%)</w:t>
            </w:r>
          </w:p>
        </w:tc>
        <w:tc>
          <w:tcPr>
            <w:tcW w:w="1438" w:type="dxa"/>
            <w:noWrap/>
            <w:vAlign w:val="center"/>
            <w:hideMark/>
          </w:tcPr>
          <w:p w14:paraId="6D7442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3BA22CA" w14:textId="77777777" w:rsidTr="00A3759F">
        <w:trPr>
          <w:trHeight w:val="20"/>
        </w:trPr>
        <w:tc>
          <w:tcPr>
            <w:tcW w:w="1444" w:type="dxa"/>
            <w:noWrap/>
            <w:vAlign w:val="center"/>
            <w:hideMark/>
          </w:tcPr>
          <w:p w14:paraId="6AF6A766" w14:textId="16ACF52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Carter, 2010</w:t>
            </w:r>
            <w:r w:rsidR="00AB6958" w:rsidRPr="009B66A4">
              <w:rPr>
                <w:rFonts w:ascii="Calibri" w:eastAsia="Times New Roman" w:hAnsi="Calibri" w:cs="Calibri"/>
                <w:kern w:val="0"/>
                <w:sz w:val="20"/>
                <w:szCs w:val="20"/>
                <w14:ligatures w14:val="none"/>
              </w:rPr>
              <w:fldChar w:fldCharType="begin"/>
            </w:r>
            <w:r w:rsidR="00AB6958" w:rsidRPr="009B66A4">
              <w:rPr>
                <w:rFonts w:ascii="Calibri" w:eastAsia="Times New Roman" w:hAnsi="Calibri" w:cs="Calibri"/>
                <w:kern w:val="0"/>
                <w:sz w:val="20"/>
                <w:szCs w:val="20"/>
                <w14:ligatures w14:val="none"/>
              </w:rPr>
              <w:instrText xml:space="preserve"> ADDIN ZOTERO_ITEM CSL_CITATION {"citationID":"Us2G3bIe","properties":{"formattedCitation":"[123]","plainCitation":"[123]","noteIndex":0},"citationItems":[{"id":2924,"uris":["http://zotero.org/users/11896629/items/6I997HBY"],"itemData":{"id":2924,"type":"article-journal","abstract":"Abstract\n            \n              Stereotypic hand movements are a feature of Rett Syndrome but few studies have observed their nature systematically. Video data in familiar settings were obtained on subjects (n = 144) identified from an Australian population‐based database. Hand stereotypies were demonstrated by most subjects (94.4%), 15 categories were observed and midline wringing was seen in approximately 60% of subjects. There was a median of two stereotypies per subject but this number decreased with age. Clapping and mouthing of hands were more prevalent in girls younger than 8 years and wringing was more prevalent in women 19 years or older. Clapping was commoner in those with p.R306C and early truncating mutations, and much rarer in those with p.R106W, p.R270X, p.R168X, and p.R255X. Stereotypies tended to be less frequent in those with more severe mutations. Otherwise, there were no clear relationships between our categories of stereotypies and mutation. Approximately a quarter each had predominantly right and left handed stereotypies and for the remaining half, no clear laterality was seen. Results were similar for all cases and when restricted to those with a pathogenic mutation. Hand stereotypies changed with increasing age but limited relationships with\n              MECP2\n              mutations were identified. © 2009 Movement Disorder Society","container-title":"Movement Disorders","DOI":"10.1002/mds.22851","ISSN":"0885-3185, 1531-8257","issue":"3","journalAbbreviation":"Movement Disorders","language":"en","license":"http://onlinelibrary.wiley.com/termsAndConditions#vor","page":"282-288","source":"DOI.org (Crossref)","title":"Stereotypical hand movements in 144 subjects with Rett syndrome from the population‐based Australian database","volume":"25","author":[{"family":"Carter","given":"Philippa"},{"family":"Downs","given":"Jenny"},{"family":"Bebbington","given":"Ami"},{"family":"Williams","given":"Simon"},{"family":"Jacoby","given":"Peter"},{"family":"Kaufmann","given":"Walter E."},{"family":"Leonard","given":"Helen"}],"issued":{"date-parts":[["2010",2,15]]}}}],"schema":"https://github.com/citation-style-language/schema/raw/master/csl-citation.json"} </w:instrText>
            </w:r>
            <w:r w:rsidR="00AB6958" w:rsidRPr="009B66A4">
              <w:rPr>
                <w:rFonts w:ascii="Calibri" w:eastAsia="Times New Roman" w:hAnsi="Calibri" w:cs="Calibri"/>
                <w:kern w:val="0"/>
                <w:sz w:val="20"/>
                <w:szCs w:val="20"/>
                <w14:ligatures w14:val="none"/>
              </w:rPr>
              <w:fldChar w:fldCharType="separate"/>
            </w:r>
            <w:r w:rsidR="00AB6958" w:rsidRPr="009B66A4">
              <w:rPr>
                <w:rFonts w:ascii="Calibri" w:hAnsi="Calibri" w:cs="Calibri"/>
                <w:sz w:val="20"/>
                <w:szCs w:val="20"/>
              </w:rPr>
              <w:t>[123]</w:t>
            </w:r>
            <w:r w:rsidR="00AB6958"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380EB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53E288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49810C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48C8FDC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1BBD64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E18B46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144</w:t>
            </w:r>
          </w:p>
        </w:tc>
        <w:tc>
          <w:tcPr>
            <w:tcW w:w="1682" w:type="dxa"/>
            <w:vAlign w:val="center"/>
            <w:hideMark/>
          </w:tcPr>
          <w:p w14:paraId="14CE370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14.6 (Range: 2 – 31.8)</w:t>
            </w:r>
          </w:p>
        </w:tc>
        <w:tc>
          <w:tcPr>
            <w:tcW w:w="1394" w:type="dxa"/>
            <w:noWrap/>
            <w:vAlign w:val="center"/>
            <w:hideMark/>
          </w:tcPr>
          <w:p w14:paraId="4622C0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E51BC5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144 (100%)</w:t>
            </w:r>
          </w:p>
        </w:tc>
        <w:tc>
          <w:tcPr>
            <w:tcW w:w="1394" w:type="dxa"/>
            <w:noWrap/>
            <w:vAlign w:val="center"/>
            <w:hideMark/>
          </w:tcPr>
          <w:p w14:paraId="60B4268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110 (78.6%)</w:t>
            </w:r>
          </w:p>
        </w:tc>
        <w:tc>
          <w:tcPr>
            <w:tcW w:w="1438" w:type="dxa"/>
            <w:noWrap/>
            <w:vAlign w:val="center"/>
            <w:hideMark/>
          </w:tcPr>
          <w:p w14:paraId="7A380F9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72491CE" w14:textId="77777777" w:rsidTr="00A3759F">
        <w:trPr>
          <w:trHeight w:val="20"/>
        </w:trPr>
        <w:tc>
          <w:tcPr>
            <w:tcW w:w="1444" w:type="dxa"/>
            <w:vMerge w:val="restart"/>
            <w:noWrap/>
            <w:vAlign w:val="center"/>
            <w:hideMark/>
          </w:tcPr>
          <w:p w14:paraId="26D575A1" w14:textId="2C35C0D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Nissenkorn, 2010</w:t>
            </w:r>
            <w:r w:rsidR="00AB6958" w:rsidRPr="009B66A4">
              <w:rPr>
                <w:rFonts w:ascii="Calibri" w:eastAsia="Times New Roman" w:hAnsi="Calibri" w:cs="Calibri"/>
                <w:kern w:val="0"/>
                <w:sz w:val="20"/>
                <w:szCs w:val="20"/>
                <w14:ligatures w14:val="none"/>
              </w:rPr>
              <w:fldChar w:fldCharType="begin"/>
            </w:r>
            <w:r w:rsidR="005022A3" w:rsidRPr="009B66A4">
              <w:rPr>
                <w:rFonts w:ascii="Calibri" w:eastAsia="Times New Roman" w:hAnsi="Calibri" w:cs="Calibri"/>
                <w:kern w:val="0"/>
                <w:sz w:val="20"/>
                <w:szCs w:val="20"/>
                <w14:ligatures w14:val="none"/>
              </w:rPr>
              <w:instrText xml:space="preserve"> ADDIN ZOTERO_ITEM CSL_CITATION {"citationID":"iGmzi7vQ","properties":{"formattedCitation":"[124]","plainCitation":"[124]","noteIndex":0},"citationItems":[{"id":3490,"uris":["http://zotero.org/users/11896629/items/7DWM6TCA"],"itemData":{"id":3490,"type":"article-journal","abstract":"Summary\n            \n              \n                Purpose:\n                 \n              \n              Rett syndrome (RTT), an X‐linked, dominant neurodevelopmental disorder caused by mutations in the methyl‐CpG‐binding protein 2 (\n              MECP2\n              ) gene, presents with acquired microcephaly, autistic regression, hand usage loss, and stereotypies. Epilepsy is frequent and has been reported to correlate with mutation type, general disease severity, and\n              BDNF\n              polymorphism. Our purpose was a comprehensive description of epilepsy features and course in RTT.\n            \n            \n              \n                Methods:\n                 \n              \n              Retrospective review of charts and electroencephalography (EEG) studies in 97 patients with RTT.\n            \n            \n              \n                Results:\n                 \n              \n              Seventy‐two percent of patients had epilepsy, appearing at a median age of 3 years. According to age of onset, we divided patients into three groups: 6 with early epileptic variant (0–1 year), 42 with early epilepsy (1–5 years), and 20 with late epilepsy (after 5 years). Early epileptic variant had severe seizure types in the first year of life, followed by a typical RTT picture; all were\n              MECP2\n              negative. Early epilepsy and late epilepsy groups were similar with respect to Rett‐related symptoms, but seizures were better controlled in the second group (p &lt; 0.05). Epileptiform activity appeared earlier and was more confluent in the early epilepsy group, including nine patients with electrical status epilepticus during sleep (ESES) versus one in the late epilepsy group (p &lt; 0.05). No correlation was found between epilepsy onset or severity and genotype.\n              BDNF\n              val/met polymorphism correlated with earlier onset of seizures (p &lt; 0.05).\n            \n            \n              \n                Discussion:\n                 \n              \n              Epilepsy appears earlier than described previously, frequently during the regression stage. Early age of onset predicts a more severe course of seizures. ESES is common among those with early onset epilepsy.\n              BDNF\n              polymorphism was the only genetic correlate with seizure onset, whereas\n              MECP2\n              mutation type and location did not influence epilepsy.","container-title":"Epilepsia","DOI":"10.1111/j.1528-1167.2010.02597.x","ISSN":"0013-9580, 1528-1167","issue":"7","journalAbbreviation":"Epilepsia","language":"en","license":"http://onlinelibrary.wiley.com/termsAndConditions#vor","page":"1252-1258","source":"DOI.org (Crossref)","title":"Epilepsy in Rett syndrome—The experience of a National Rett Center","volume":"51","author":[{"family":"Nissenkorn","given":"Andreea"},{"family":"Gak","given":"Eva"},{"family":"Vecsler","given":"Manuela"},{"family":"Reznik","given":"Haia"},{"family":"Menascu","given":"Shay"},{"family":"Ben Zeev","given":"Bruria"}],"issued":{"date-parts":[["2010",7]]}}}],"schema":"https://github.com/citation-style-language/schema/raw/master/csl-citation.json"} </w:instrText>
            </w:r>
            <w:r w:rsidR="00AB6958" w:rsidRPr="009B66A4">
              <w:rPr>
                <w:rFonts w:ascii="Calibri" w:eastAsia="Times New Roman" w:hAnsi="Calibri" w:cs="Calibri"/>
                <w:kern w:val="0"/>
                <w:sz w:val="20"/>
                <w:szCs w:val="20"/>
                <w14:ligatures w14:val="none"/>
              </w:rPr>
              <w:fldChar w:fldCharType="separate"/>
            </w:r>
            <w:r w:rsidR="005022A3" w:rsidRPr="009B66A4">
              <w:rPr>
                <w:rFonts w:ascii="Calibri" w:hAnsi="Calibri" w:cs="Calibri"/>
                <w:sz w:val="20"/>
                <w:szCs w:val="20"/>
              </w:rPr>
              <w:t>[124]</w:t>
            </w:r>
            <w:r w:rsidR="00AB6958"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660E579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Israel</w:t>
            </w:r>
          </w:p>
        </w:tc>
        <w:tc>
          <w:tcPr>
            <w:tcW w:w="1316" w:type="dxa"/>
            <w:vMerge w:val="restart"/>
            <w:noWrap/>
            <w:vAlign w:val="center"/>
            <w:hideMark/>
          </w:tcPr>
          <w:p w14:paraId="4F42F4E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vMerge w:val="restart"/>
            <w:noWrap/>
            <w:vAlign w:val="center"/>
            <w:hideMark/>
          </w:tcPr>
          <w:p w14:paraId="56B917F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15D9D38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60947F4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3BE327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97</w:t>
            </w:r>
          </w:p>
        </w:tc>
        <w:tc>
          <w:tcPr>
            <w:tcW w:w="1682" w:type="dxa"/>
            <w:vMerge w:val="restart"/>
            <w:noWrap/>
            <w:vAlign w:val="center"/>
            <w:hideMark/>
          </w:tcPr>
          <w:p w14:paraId="146B49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Merge w:val="restart"/>
            <w:noWrap/>
            <w:vAlign w:val="center"/>
            <w:hideMark/>
          </w:tcPr>
          <w:p w14:paraId="72FA02F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Merge w:val="restart"/>
            <w:noWrap/>
            <w:vAlign w:val="center"/>
            <w:hideMark/>
          </w:tcPr>
          <w:p w14:paraId="7C5106A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4B7A6E12" w14:textId="215B7489"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Early epilepsy (1 – 5 years </w:t>
            </w:r>
            <w:r w:rsidR="00A3759F" w:rsidRPr="009B66A4">
              <w:rPr>
                <w:rFonts w:ascii="Calibri" w:eastAsia="Times New Roman" w:hAnsi="Calibri" w:cs="Calibri"/>
                <w:kern w:val="0"/>
                <w:sz w:val="20"/>
                <w:szCs w:val="20"/>
                <w14:ligatures w14:val="none"/>
              </w:rPr>
              <w:t>of age</w:t>
            </w:r>
            <w:r w:rsidRPr="009B66A4">
              <w:rPr>
                <w:rFonts w:ascii="Calibri" w:eastAsia="Times New Roman" w:hAnsi="Calibri" w:cs="Calibri"/>
                <w:kern w:val="0"/>
                <w:sz w:val="20"/>
                <w:szCs w:val="20"/>
                <w14:ligatures w14:val="none"/>
              </w:rPr>
              <w:t>): 88%</w:t>
            </w:r>
          </w:p>
        </w:tc>
        <w:tc>
          <w:tcPr>
            <w:tcW w:w="1438" w:type="dxa"/>
            <w:vAlign w:val="center"/>
            <w:hideMark/>
          </w:tcPr>
          <w:p w14:paraId="32DD842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Corrected Percy disease severity score</w:t>
            </w:r>
          </w:p>
        </w:tc>
      </w:tr>
      <w:tr w:rsidR="00713B5E" w:rsidRPr="009B66A4" w14:paraId="7B1DB2C8" w14:textId="77777777" w:rsidTr="00A3759F">
        <w:trPr>
          <w:trHeight w:val="20"/>
        </w:trPr>
        <w:tc>
          <w:tcPr>
            <w:tcW w:w="1444" w:type="dxa"/>
            <w:vMerge/>
            <w:vAlign w:val="center"/>
            <w:hideMark/>
          </w:tcPr>
          <w:p w14:paraId="50FA756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377147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A57D79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16F7947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306E7B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AF3BBC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376D35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6097D1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B58B41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50096B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12A1C5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Late epilepsy (&gt; 5 years of</w:t>
            </w:r>
          </w:p>
        </w:tc>
        <w:tc>
          <w:tcPr>
            <w:tcW w:w="1438" w:type="dxa"/>
            <w:vAlign w:val="center"/>
            <w:hideMark/>
          </w:tcPr>
          <w:p w14:paraId="632AC6E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Early epilepsy: 25.76</w:t>
            </w:r>
          </w:p>
        </w:tc>
      </w:tr>
      <w:tr w:rsidR="00713B5E" w:rsidRPr="009B66A4" w14:paraId="4AEEF38D" w14:textId="77777777" w:rsidTr="00A3759F">
        <w:trPr>
          <w:trHeight w:val="20"/>
        </w:trPr>
        <w:tc>
          <w:tcPr>
            <w:tcW w:w="1444" w:type="dxa"/>
            <w:vMerge/>
            <w:vAlign w:val="center"/>
            <w:hideMark/>
          </w:tcPr>
          <w:p w14:paraId="3D60903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C88E3F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A9D989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AF31B3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B66EDD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6BEE5B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47F4F1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5309BBE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77AA70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767432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4F895B6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Age): 84.2%</w:t>
            </w:r>
          </w:p>
        </w:tc>
        <w:tc>
          <w:tcPr>
            <w:tcW w:w="1438" w:type="dxa"/>
            <w:vAlign w:val="center"/>
            <w:hideMark/>
          </w:tcPr>
          <w:p w14:paraId="63839B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Late epilepsy: 28.76</w:t>
            </w:r>
          </w:p>
        </w:tc>
      </w:tr>
      <w:tr w:rsidR="00713B5E" w:rsidRPr="009B66A4" w14:paraId="4EEDECD1" w14:textId="77777777" w:rsidTr="00A3759F">
        <w:trPr>
          <w:trHeight w:val="20"/>
        </w:trPr>
        <w:tc>
          <w:tcPr>
            <w:tcW w:w="1444" w:type="dxa"/>
            <w:vMerge/>
            <w:vAlign w:val="center"/>
            <w:hideMark/>
          </w:tcPr>
          <w:p w14:paraId="4C02363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0BE705E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8DAE0B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FEB85E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497BC17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BB9929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939E36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Merge/>
            <w:vAlign w:val="center"/>
            <w:hideMark/>
          </w:tcPr>
          <w:p w14:paraId="0CD5CED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16DFC6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379E35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2614A4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 epilepsy: 76.9%</w:t>
            </w:r>
          </w:p>
        </w:tc>
        <w:tc>
          <w:tcPr>
            <w:tcW w:w="1438" w:type="dxa"/>
            <w:vAlign w:val="center"/>
            <w:hideMark/>
          </w:tcPr>
          <w:p w14:paraId="00F4EB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No epilepsy: 24.14</w:t>
            </w:r>
          </w:p>
        </w:tc>
      </w:tr>
      <w:tr w:rsidR="00713B5E" w:rsidRPr="009B66A4" w14:paraId="239962B6" w14:textId="77777777" w:rsidTr="00A3759F">
        <w:trPr>
          <w:trHeight w:val="20"/>
        </w:trPr>
        <w:tc>
          <w:tcPr>
            <w:tcW w:w="1444" w:type="dxa"/>
            <w:noWrap/>
            <w:vAlign w:val="center"/>
            <w:hideMark/>
          </w:tcPr>
          <w:p w14:paraId="18A2E9DE" w14:textId="6EE0435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Percy, 2010</w:t>
            </w:r>
            <w:r w:rsidR="005022A3" w:rsidRPr="009B66A4">
              <w:rPr>
                <w:rFonts w:ascii="Calibri" w:eastAsia="Times New Roman" w:hAnsi="Calibri" w:cs="Calibri"/>
                <w:kern w:val="0"/>
                <w:sz w:val="20"/>
                <w:szCs w:val="20"/>
                <w14:ligatures w14:val="none"/>
              </w:rPr>
              <w:fldChar w:fldCharType="begin"/>
            </w:r>
            <w:r w:rsidR="00672CAB" w:rsidRPr="009B66A4">
              <w:rPr>
                <w:rFonts w:ascii="Calibri" w:eastAsia="Times New Roman" w:hAnsi="Calibri" w:cs="Calibri"/>
                <w:kern w:val="0"/>
                <w:sz w:val="20"/>
                <w:szCs w:val="20"/>
                <w14:ligatures w14:val="none"/>
              </w:rPr>
              <w:instrText xml:space="preserve"> ADDIN ZOTERO_ITEM CSL_CITATION {"citationID":"YoySQZbG","properties":{"formattedCitation":"[125]","plainCitation":"[125]","noteIndex":0},"citationItems":[{"id":3491,"uris":["http://zotero.org/users/11896629/items/IX6VUDZL"],"itemData":{"id":3491,"type":"article-journal","container-title":"Pediatric Research","DOI":"10.1203/PDR.0b013e3181d0187f","ISSN":"0031-3998, 1530-0447","issue":"4","journalAbbreviation":"Pediatr Res","page":"435-439","source":"DOI.org (Crossref)","title":"Profiling Scoliosis in Rett Syndrome","volume":"67","author":[{"family":"Percy","given":"Alan K"},{"family":"Lee","given":"Hye-Seung"},{"family":"Neul","given":"Jeffrey L"},{"family":"Lane","given":"Jane B"},{"family":"Skinner","given":"Steven A"},{"family":"Geerts","given":"Suzanne P"},{"family":"Annese","given":"Fran"},{"family":"Graham","given":"Joy"},{"family":"McNair","given":"Lauren"},{"family":"Motil","given":"Kathleen J"},{"family":"Barrish","given":"Judy O"},{"family":"Glaze","given":"Daniel G"}],"issued":{"date-parts":[["2010",4]]}}}],"schema":"https://github.com/citation-style-language/schema/raw/master/csl-citation.json"} </w:instrText>
            </w:r>
            <w:r w:rsidR="005022A3" w:rsidRPr="009B66A4">
              <w:rPr>
                <w:rFonts w:ascii="Calibri" w:eastAsia="Times New Roman" w:hAnsi="Calibri" w:cs="Calibri"/>
                <w:kern w:val="0"/>
                <w:sz w:val="20"/>
                <w:szCs w:val="20"/>
                <w14:ligatures w14:val="none"/>
              </w:rPr>
              <w:fldChar w:fldCharType="separate"/>
            </w:r>
            <w:r w:rsidR="00672CAB" w:rsidRPr="009B66A4">
              <w:rPr>
                <w:rFonts w:ascii="Calibri" w:hAnsi="Calibri" w:cs="Calibri"/>
                <w:sz w:val="20"/>
                <w:szCs w:val="20"/>
              </w:rPr>
              <w:t>[125]</w:t>
            </w:r>
            <w:r w:rsidR="005022A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CF2A3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437F9A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166F16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546DF1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AE87E4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441EB6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586</w:t>
            </w:r>
          </w:p>
        </w:tc>
        <w:tc>
          <w:tcPr>
            <w:tcW w:w="1682" w:type="dxa"/>
            <w:noWrap/>
            <w:vAlign w:val="center"/>
            <w:hideMark/>
          </w:tcPr>
          <w:p w14:paraId="2FF06E1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10</w:t>
            </w:r>
          </w:p>
        </w:tc>
        <w:tc>
          <w:tcPr>
            <w:tcW w:w="1394" w:type="dxa"/>
            <w:noWrap/>
            <w:vAlign w:val="center"/>
            <w:hideMark/>
          </w:tcPr>
          <w:p w14:paraId="35BD220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3CE678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586 (100%)</w:t>
            </w:r>
          </w:p>
        </w:tc>
        <w:tc>
          <w:tcPr>
            <w:tcW w:w="1394" w:type="dxa"/>
            <w:noWrap/>
            <w:vAlign w:val="center"/>
            <w:hideMark/>
          </w:tcPr>
          <w:p w14:paraId="1066F7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555 (95%)</w:t>
            </w:r>
          </w:p>
        </w:tc>
        <w:tc>
          <w:tcPr>
            <w:tcW w:w="1438" w:type="dxa"/>
            <w:noWrap/>
            <w:vAlign w:val="center"/>
            <w:hideMark/>
          </w:tcPr>
          <w:p w14:paraId="5933643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2190F93" w14:textId="77777777" w:rsidTr="00A3759F">
        <w:trPr>
          <w:trHeight w:val="20"/>
        </w:trPr>
        <w:tc>
          <w:tcPr>
            <w:tcW w:w="1444" w:type="dxa"/>
            <w:noWrap/>
            <w:vAlign w:val="center"/>
            <w:hideMark/>
          </w:tcPr>
          <w:p w14:paraId="4E6C9ED5" w14:textId="3F052172"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Pintaudi, 2010</w:t>
            </w:r>
            <w:r w:rsidR="00672CAB" w:rsidRPr="009B66A4">
              <w:rPr>
                <w:rFonts w:ascii="Calibri" w:eastAsia="Times New Roman" w:hAnsi="Calibri" w:cs="Calibri"/>
                <w:kern w:val="0"/>
                <w:sz w:val="20"/>
                <w:szCs w:val="20"/>
                <w14:ligatures w14:val="none"/>
              </w:rPr>
              <w:fldChar w:fldCharType="begin"/>
            </w:r>
            <w:r w:rsidR="005110A3" w:rsidRPr="009B66A4">
              <w:rPr>
                <w:rFonts w:ascii="Calibri" w:eastAsia="Times New Roman" w:hAnsi="Calibri" w:cs="Calibri"/>
                <w:kern w:val="0"/>
                <w:sz w:val="20"/>
                <w:szCs w:val="20"/>
                <w14:ligatures w14:val="none"/>
              </w:rPr>
              <w:instrText xml:space="preserve"> ADDIN ZOTERO_ITEM CSL_CITATION {"citationID":"PlLcszcT","properties":{"formattedCitation":"[126]","plainCitation":"[126]","noteIndex":0},"citationItems":[{"id":3493,"uris":["http://zotero.org/users/11896629/items/V2AFLCX5"],"itemData":{"id":3493,"type":"article-journal","container-title":"Epilepsy &amp; Behavior","DOI":"10.1016/j.yebeh.2010.06.051","ISSN":"15255050","issue":"3","journalAbbreviation":"Epilepsy &amp; Behavior","language":"en","license":"https://www.elsevier.com/tdm/userlicense/1.0/","page":"296-300","source":"DOI.org (Crossref)","title":"Epilepsy in Rett syndrome: Clinical and genetic features","title-short":"Epilepsy in Rett syndrome","volume":"19","author":[{"family":"Pintaudi","given":"Maria"},{"family":"Calevo","given":"Maria Grazia"},{"family":"Vignoli","given":"Aglaia"},{"family":"Parodi","given":"Elena"},{"family":"Aiello","given":"Francesca"},{"family":"Baglietto","given":"Maria Giuseppina"},{"family":"Hayek","given":"Yussef"},{"family":"Buoni","given":"Sabrina"},{"family":"Renieri","given":"Alessandra"},{"family":"Russo","given":"Silvia"},{"family":"Cogliati","given":"Francesca"},{"family":"Giordano","given":"Lucio"},{"family":"Canevini","given":"MariaPaola"},{"family":"Veneselli","given":"Edvige"}],"issued":{"date-parts":[["2010",11]]}}}],"schema":"https://github.com/citation-style-language/schema/raw/master/csl-citation.json"} </w:instrText>
            </w:r>
            <w:r w:rsidR="00672CAB" w:rsidRPr="009B66A4">
              <w:rPr>
                <w:rFonts w:ascii="Calibri" w:eastAsia="Times New Roman" w:hAnsi="Calibri" w:cs="Calibri"/>
                <w:kern w:val="0"/>
                <w:sz w:val="20"/>
                <w:szCs w:val="20"/>
                <w14:ligatures w14:val="none"/>
              </w:rPr>
              <w:fldChar w:fldCharType="separate"/>
            </w:r>
            <w:r w:rsidR="005110A3" w:rsidRPr="009B66A4">
              <w:rPr>
                <w:rFonts w:ascii="Calibri" w:hAnsi="Calibri" w:cs="Calibri"/>
                <w:sz w:val="20"/>
                <w:szCs w:val="20"/>
              </w:rPr>
              <w:t>[126]</w:t>
            </w:r>
            <w:r w:rsidR="00672CAB"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8162C7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noWrap/>
            <w:vAlign w:val="center"/>
            <w:hideMark/>
          </w:tcPr>
          <w:p w14:paraId="45B5B2D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6699DBF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79927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97F6C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879894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165</w:t>
            </w:r>
          </w:p>
        </w:tc>
        <w:tc>
          <w:tcPr>
            <w:tcW w:w="1682" w:type="dxa"/>
            <w:vAlign w:val="center"/>
            <w:hideMark/>
          </w:tcPr>
          <w:p w14:paraId="6993835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 (Range: 2 – 40)</w:t>
            </w:r>
          </w:p>
        </w:tc>
        <w:tc>
          <w:tcPr>
            <w:tcW w:w="1394" w:type="dxa"/>
            <w:vAlign w:val="center"/>
            <w:hideMark/>
          </w:tcPr>
          <w:p w14:paraId="5B227CD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551C34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362816E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147 (89.09%)</w:t>
            </w:r>
          </w:p>
        </w:tc>
        <w:tc>
          <w:tcPr>
            <w:tcW w:w="1438" w:type="dxa"/>
            <w:vAlign w:val="center"/>
            <w:hideMark/>
          </w:tcPr>
          <w:p w14:paraId="3B02B6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E01D201" w14:textId="77777777" w:rsidTr="00A3759F">
        <w:trPr>
          <w:trHeight w:val="20"/>
        </w:trPr>
        <w:tc>
          <w:tcPr>
            <w:tcW w:w="1444" w:type="dxa"/>
            <w:noWrap/>
            <w:vAlign w:val="center"/>
            <w:hideMark/>
          </w:tcPr>
          <w:p w14:paraId="4677658D" w14:textId="4914491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Temudo, 2009</w:t>
            </w:r>
            <w:r w:rsidR="005110A3" w:rsidRPr="009B66A4">
              <w:rPr>
                <w:rFonts w:ascii="Calibri" w:eastAsia="Times New Roman" w:hAnsi="Calibri" w:cs="Calibri"/>
                <w:kern w:val="0"/>
                <w:sz w:val="20"/>
                <w:szCs w:val="20"/>
                <w14:ligatures w14:val="none"/>
              </w:rPr>
              <w:fldChar w:fldCharType="begin"/>
            </w:r>
            <w:r w:rsidR="008B2BA7" w:rsidRPr="009B66A4">
              <w:rPr>
                <w:rFonts w:ascii="Calibri" w:eastAsia="Times New Roman" w:hAnsi="Calibri" w:cs="Calibri"/>
                <w:kern w:val="0"/>
                <w:sz w:val="20"/>
                <w:szCs w:val="20"/>
                <w14:ligatures w14:val="none"/>
              </w:rPr>
              <w:instrText xml:space="preserve"> ADDIN ZOTERO_ITEM CSL_CITATION {"citationID":"OmiVL8NC","properties":{"formattedCitation":"[127]","plainCitation":"[127]","noteIndex":0},"citationItems":[{"id":3309,"uris":["http://zotero.org/users/11896629/items/R2H4NBC5"],"itemData":{"id":3309,"type":"article-journal","container-title":"Brain and Development","DOI":"10.1016/j.braindev.2008.05.003","ISSN":"03877604","issue":"1","journalAbbreviation":"Brain and Development","language":"en","license":"https://www.elsevier.com/tdm/userlicense/1.0/","page":"46-51","source":"DOI.org (Crossref)","title":"Evaluation of CSF neurotransmitters and folate in 25 patients with Rett disorder and effects of treatment","volume":"31","author":[{"family":"Temudo","given":"T."},{"family":"Rios","given":"M."},{"family":"Prior","given":"C."},{"family":"Carrilho","given":"I."},{"family":"Santos","given":"M."},{"family":"Maciel","given":"P."},{"family":"Sequeiros","given":"J."},{"family":"Fonseca","given":"M."},{"family":"Monteiro","given":"J."},{"family":"Cabral","given":"P."},{"family":"Vieira","given":"J.P."},{"family":"Ormazabal","given":"A."},{"family":"Artuch","given":"R."}],"issued":{"date-parts":[["2009",1]]}}}],"schema":"https://github.com/citation-style-language/schema/raw/master/csl-citation.json"} </w:instrText>
            </w:r>
            <w:r w:rsidR="005110A3" w:rsidRPr="009B66A4">
              <w:rPr>
                <w:rFonts w:ascii="Calibri" w:eastAsia="Times New Roman" w:hAnsi="Calibri" w:cs="Calibri"/>
                <w:kern w:val="0"/>
                <w:sz w:val="20"/>
                <w:szCs w:val="20"/>
                <w14:ligatures w14:val="none"/>
              </w:rPr>
              <w:fldChar w:fldCharType="separate"/>
            </w:r>
            <w:r w:rsidR="008B2BA7" w:rsidRPr="009B66A4">
              <w:rPr>
                <w:rFonts w:ascii="Calibri" w:hAnsi="Calibri" w:cs="Calibri"/>
                <w:sz w:val="20"/>
                <w:szCs w:val="20"/>
              </w:rPr>
              <w:t>[127]</w:t>
            </w:r>
            <w:r w:rsidR="005110A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D7FA2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Portugal</w:t>
            </w:r>
          </w:p>
        </w:tc>
        <w:tc>
          <w:tcPr>
            <w:tcW w:w="1316" w:type="dxa"/>
            <w:noWrap/>
            <w:vAlign w:val="center"/>
            <w:hideMark/>
          </w:tcPr>
          <w:p w14:paraId="5488C4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1DD5839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325BD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9EB5C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55412C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w:t>
            </w:r>
          </w:p>
        </w:tc>
        <w:tc>
          <w:tcPr>
            <w:tcW w:w="1682" w:type="dxa"/>
            <w:noWrap/>
            <w:vAlign w:val="center"/>
            <w:hideMark/>
          </w:tcPr>
          <w:p w14:paraId="404970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7.2 years (Range: 22 months – 16.3 year)</w:t>
            </w:r>
          </w:p>
        </w:tc>
        <w:tc>
          <w:tcPr>
            <w:tcW w:w="1394" w:type="dxa"/>
            <w:noWrap/>
            <w:vAlign w:val="center"/>
            <w:hideMark/>
          </w:tcPr>
          <w:p w14:paraId="5C784A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DCA14A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 (100%)</w:t>
            </w:r>
          </w:p>
        </w:tc>
        <w:tc>
          <w:tcPr>
            <w:tcW w:w="1394" w:type="dxa"/>
            <w:noWrap/>
            <w:vAlign w:val="center"/>
            <w:hideMark/>
          </w:tcPr>
          <w:p w14:paraId="1C87F57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25 (100%)</w:t>
            </w:r>
          </w:p>
        </w:tc>
        <w:tc>
          <w:tcPr>
            <w:tcW w:w="1438" w:type="dxa"/>
            <w:noWrap/>
            <w:vAlign w:val="center"/>
            <w:hideMark/>
          </w:tcPr>
          <w:p w14:paraId="26E158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F176361" w14:textId="77777777" w:rsidTr="00A3759F">
        <w:trPr>
          <w:trHeight w:val="20"/>
        </w:trPr>
        <w:tc>
          <w:tcPr>
            <w:tcW w:w="1444" w:type="dxa"/>
            <w:noWrap/>
            <w:vAlign w:val="center"/>
            <w:hideMark/>
          </w:tcPr>
          <w:p w14:paraId="16E247A8" w14:textId="5214D05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De Lima, 2009</w:t>
            </w:r>
            <w:r w:rsidR="008B2BA7" w:rsidRPr="009B66A4">
              <w:rPr>
                <w:rFonts w:ascii="Calibri" w:eastAsia="Times New Roman" w:hAnsi="Calibri" w:cs="Calibri"/>
                <w:kern w:val="0"/>
                <w:sz w:val="20"/>
                <w:szCs w:val="20"/>
                <w14:ligatures w14:val="none"/>
              </w:rPr>
              <w:fldChar w:fldCharType="begin"/>
            </w:r>
            <w:r w:rsidR="003F7AF5" w:rsidRPr="009B66A4">
              <w:rPr>
                <w:rFonts w:ascii="Calibri" w:eastAsia="Times New Roman" w:hAnsi="Calibri" w:cs="Calibri"/>
                <w:kern w:val="0"/>
                <w:sz w:val="20"/>
                <w:szCs w:val="20"/>
                <w14:ligatures w14:val="none"/>
              </w:rPr>
              <w:instrText xml:space="preserve"> ADDIN ZOTERO_ITEM CSL_CITATION {"citationID":"REkj2TjW","properties":{"formattedCitation":"[128]","plainCitation":"[128]","noteIndex":0},"citationItems":[{"id":3495,"uris":["http://zotero.org/users/11896629/items/QGS8MTKP"],"itemData":{"id":3495,"type":"article-journal","abstract":"BACKGROUND: Rett syndrome (RS) is a severe neurodevelopmental X-linked dominant disorder caused by mutations in the MECP2 gene. PURPOSE: To search for point mutations on the MECP2 gene and to establish a correlation between the main point mutations found and the phenotype. METHOD: Clinical evaluation of 105 patients, following a standard protocol. Detection of point mutations on the MECP2 gene was performed on peripheral blood DNA by sequencing the coding region of the gene. RESULTS: Classical RS was seen in 68% of the patients. Pathogenic point mutations were found in 64.1% of all patients and in 70.42% of those with the classical phenotype. Four new sequence variations were found, and their nature suggests patogenicity. Genotype-phenotype correlations were performed. CONCLUSION: Detailed clinical descriptions and identification of the underlying genetic alterations of this Brazilian RS population add to our knowledge of genotype/phenotype correlations, guiding the implementation of mutation searching programs.\n          , \n            INTRODUÇÃO: A síndrome de Rett é uma grave doença do neurodesenvolvimento ligada ao X dominante, causada por mutações no gene MECP2. OBJETIVOS: Identificar mutações de ponto no gene MECP2 e estabelecer uma correlação entre as principais mutações encontradas e o fenótipo. MÉTODO: Avaliação clínica de 105 pacientes, seguindo um protocolo estabelecido. A identificação de mutações de ponto foi realizada em DNA de sangue periférico por sequenciamento da região codificante do gene amplificada por PCR. RESULTADOS: Em 68% dos pacientes observou-se o quadro clássico da síndrome. Mutações de ponto patogênicas foram encontradas em 64,1% dos pacientes e em 70,42% das pacientes com o quadro clássico. Quatro novas variações de seqüência foram identificadas e sua natureza sugere patogenicidade. Correlações genótipo-fenótipo foram estabelecidas. CONCLUSÃO: Descrições clínicas detalhadas desta população brasileira de pacientes acrescenta conhecimento às correlações genótipo-fenótipo nesta grave condição, que podem auxiliar na implantação de programas de triagem de mutações.","container-title":"Arquivos de Neuro-Psiquiatria","DOI":"10.1590/S0004-282X2009000400001","ISSN":"0004-282X","issue":"3a","journalAbbreviation":"Arq. Neuro-Psiquiatr.","page":"577-584","source":"DOI.org (Crossref)","title":"Genotype-phenotype correlation in Brazillian Rett syndrome patients","volume":"67","author":[{"family":"Lima","given":"Fernanda T. De"},{"family":"Brunoni","given":"Decio"},{"family":"Schwartzman","given":"José Salomão"},{"family":"Pozzi","given":"Maria Cristina"},{"family":"Kok","given":"Fernando"},{"family":"Juliano","given":"Yara"},{"family":"Pereira","given":"Lygia Da Veiga"}],"issued":{"date-parts":[["2009",9]]}}}],"schema":"https://github.com/citation-style-language/schema/raw/master/csl-citation.json"} </w:instrText>
            </w:r>
            <w:r w:rsidR="008B2BA7" w:rsidRPr="009B66A4">
              <w:rPr>
                <w:rFonts w:ascii="Calibri" w:eastAsia="Times New Roman" w:hAnsi="Calibri" w:cs="Calibri"/>
                <w:kern w:val="0"/>
                <w:sz w:val="20"/>
                <w:szCs w:val="20"/>
                <w14:ligatures w14:val="none"/>
              </w:rPr>
              <w:fldChar w:fldCharType="separate"/>
            </w:r>
            <w:r w:rsidR="003F7AF5" w:rsidRPr="009B66A4">
              <w:rPr>
                <w:rFonts w:ascii="Calibri" w:hAnsi="Calibri" w:cs="Calibri"/>
                <w:sz w:val="20"/>
                <w:szCs w:val="20"/>
              </w:rPr>
              <w:t>[128]</w:t>
            </w:r>
            <w:r w:rsidR="008B2BA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1E3C2F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Brazil</w:t>
            </w:r>
          </w:p>
        </w:tc>
        <w:tc>
          <w:tcPr>
            <w:tcW w:w="1316" w:type="dxa"/>
            <w:noWrap/>
            <w:vAlign w:val="center"/>
            <w:hideMark/>
          </w:tcPr>
          <w:p w14:paraId="19BB23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3B4AA7B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3A114B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48E6C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26E9FE8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105</w:t>
            </w:r>
          </w:p>
        </w:tc>
        <w:tc>
          <w:tcPr>
            <w:tcW w:w="1682" w:type="dxa"/>
            <w:noWrap/>
            <w:vAlign w:val="center"/>
            <w:hideMark/>
          </w:tcPr>
          <w:p w14:paraId="79D586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 (5.44)</w:t>
            </w:r>
          </w:p>
        </w:tc>
        <w:tc>
          <w:tcPr>
            <w:tcW w:w="1394" w:type="dxa"/>
            <w:noWrap/>
            <w:vAlign w:val="center"/>
            <w:hideMark/>
          </w:tcPr>
          <w:p w14:paraId="0F9710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158842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105 (100%)</w:t>
            </w:r>
          </w:p>
        </w:tc>
        <w:tc>
          <w:tcPr>
            <w:tcW w:w="1394" w:type="dxa"/>
            <w:noWrap/>
            <w:vAlign w:val="center"/>
            <w:hideMark/>
          </w:tcPr>
          <w:p w14:paraId="2BD3B3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74 (71%)</w:t>
            </w:r>
          </w:p>
        </w:tc>
        <w:tc>
          <w:tcPr>
            <w:tcW w:w="1438" w:type="dxa"/>
            <w:noWrap/>
            <w:vAlign w:val="center"/>
            <w:hideMark/>
          </w:tcPr>
          <w:p w14:paraId="73953B7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29D586B" w14:textId="77777777" w:rsidTr="00A3759F">
        <w:trPr>
          <w:trHeight w:val="20"/>
        </w:trPr>
        <w:tc>
          <w:tcPr>
            <w:tcW w:w="1444" w:type="dxa"/>
            <w:vMerge w:val="restart"/>
            <w:noWrap/>
            <w:vAlign w:val="center"/>
            <w:hideMark/>
          </w:tcPr>
          <w:p w14:paraId="7F4C5295" w14:textId="13E2A01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Motil, 2009</w:t>
            </w:r>
            <w:r w:rsidR="003F7AF5" w:rsidRPr="009B66A4">
              <w:rPr>
                <w:rFonts w:ascii="Calibri" w:eastAsia="Times New Roman" w:hAnsi="Calibri" w:cs="Calibri"/>
                <w:kern w:val="0"/>
                <w:sz w:val="20"/>
                <w:szCs w:val="20"/>
                <w14:ligatures w14:val="none"/>
              </w:rPr>
              <w:fldChar w:fldCharType="begin"/>
            </w:r>
            <w:r w:rsidR="00E60EB9" w:rsidRPr="009B66A4">
              <w:rPr>
                <w:rFonts w:ascii="Calibri" w:eastAsia="Times New Roman" w:hAnsi="Calibri" w:cs="Calibri"/>
                <w:kern w:val="0"/>
                <w:sz w:val="20"/>
                <w:szCs w:val="20"/>
                <w14:ligatures w14:val="none"/>
              </w:rPr>
              <w:instrText xml:space="preserve"> ADDIN ZOTERO_ITEM CSL_CITATION {"citationID":"A2yKmNgd","properties":{"formattedCitation":"[129]","plainCitation":"[129]","noteIndex":0},"citationItems":[{"id":3497,"uris":["http://zotero.org/users/11896629/items/NLG6TWMU"],"itemData":{"id":3497,"type":"article-journal","abstract":"ABSTRACT\n            \n              Background:\n              Growth failure and undernutrition complicate the clinical course of girls with Rett syndrome (RTT). These abnormalities are, in part, the consequence of oral motor dysfunction and inadequate dietary intake.\n            \n            \n              Objective:\n              To determine whether gastrostomy placement for nutritional therapy alters the natural history of growth failure and undernutrition in RTT.\n            \n            \n              Hypothesis:\n              \n                We hypothesized that gastrostomy placement for nutritional therapy reverses the decline in height, weight, and body mass index (BMI)\n                z\n                scores in RTT.\n              \n            \n            \n              Methods:\n              \n                Standard stadiometric and anthropometric measures were obtained to derive height, weight, and BMI\n                z\n                scores and estimates of fat‐free mass (FFM) and body fat in a cohort of girls (n = 92) with RTT before and after gastrostomy placement. Methyl‐CpG‐binding protein 2 (\n                MECP2\n                ) mutations and the presence or absence of a fundoplication were recorded.\n              \n            \n            \n              Results:\n              \n                The differences in height (n = 73), weight (n = 81), and BMI (n = 81)\n                z\n                score slopes before and after gastrostomy placement were 1.31\n                +\n                2.06 (\n                P\n                &lt; 0.001), 2.38 ± 3.18 (\n                P\n                &lt; 0.001), and 3.25 ± 3.32 (\n                P\n                &lt; 0.001), respectively. FFM and body fat (n = 43) increased after gastrostomy by 41 ± 27 g/cm height (\n                P\n                &lt; 0.001) and 7.5% ± 5.7% body weight (\n                P\n                &lt; 0.001), respectively. The differences in height, weight, and BMI\n                z\n                score slopes were similar regardless of the age at which the gastrostomy was placed. The differences in height, weight, and BMI\n                z\n                score slopes, as well as the change in FFM and body fat deposition after gastrostomy placement, did not differ between those who did or did not have a fundoplication and among the classes of\n                MECP2\n                mutations.\n              \n            \n            \n              Conclusion:\n              \n                Gastrostomy placement for aggressive nutritional therapy favorably altered the natural history of growth failure and undernutrition in RTT, but did not restore height and weight\n                z\n                scores to birth values, regardless of the age at which surgery occurred and in the presence or absence of a fundoplication.","container-title":"Journal of Pediatric Gastroenterology and Nutrition","DOI":"10.1097/MPG.0b013e31818f61fd","ISSN":"0277-2116, 1536-4801","issue":"2","journalAbbreviation":"J. pediatr. gastroenterol. nutr.","language":"en","license":"http://onlinelibrary.wiley.com/termsAndConditions#vor","page":"237-242","source":"DOI.org (Crossref)","title":"Gastrostomy Placement Improves Height and Weight Gain in Girls With Rett Syndrome","volume":"49","author":[{"family":"Motil","given":"Kathleen J"},{"family":"Morrissey","given":"Matthew"},{"family":"Caeg","given":"Erwin"},{"family":"Barrish","given":"Judy O"},{"family":"Glaze","given":"Daniel G"}],"issued":{"date-parts":[["2009",8]]}}}],"schema":"https://github.com/citation-style-language/schema/raw/master/csl-citation.json"} </w:instrText>
            </w:r>
            <w:r w:rsidR="003F7AF5" w:rsidRPr="009B66A4">
              <w:rPr>
                <w:rFonts w:ascii="Calibri" w:eastAsia="Times New Roman" w:hAnsi="Calibri" w:cs="Calibri"/>
                <w:kern w:val="0"/>
                <w:sz w:val="20"/>
                <w:szCs w:val="20"/>
                <w14:ligatures w14:val="none"/>
              </w:rPr>
              <w:fldChar w:fldCharType="separate"/>
            </w:r>
            <w:r w:rsidR="00E60EB9" w:rsidRPr="009B66A4">
              <w:rPr>
                <w:rFonts w:ascii="Calibri" w:hAnsi="Calibri" w:cs="Calibri"/>
                <w:sz w:val="20"/>
                <w:szCs w:val="20"/>
              </w:rPr>
              <w:t>[129]</w:t>
            </w:r>
            <w:r w:rsidR="003F7AF5"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2E090FD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vMerge w:val="restart"/>
            <w:noWrap/>
            <w:vAlign w:val="center"/>
            <w:hideMark/>
          </w:tcPr>
          <w:p w14:paraId="2CB2AD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vMerge w:val="restart"/>
            <w:noWrap/>
            <w:vAlign w:val="center"/>
            <w:hideMark/>
          </w:tcPr>
          <w:p w14:paraId="5DBD09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382097E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472" w:type="dxa"/>
            <w:vMerge w:val="restart"/>
            <w:vAlign w:val="center"/>
            <w:hideMark/>
          </w:tcPr>
          <w:p w14:paraId="557087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5902B37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92</w:t>
            </w:r>
          </w:p>
        </w:tc>
        <w:tc>
          <w:tcPr>
            <w:tcW w:w="1682" w:type="dxa"/>
            <w:vAlign w:val="center"/>
            <w:hideMark/>
          </w:tcPr>
          <w:p w14:paraId="57ACB6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Before gastrostomy: 5.9 (3.8)</w:t>
            </w:r>
          </w:p>
        </w:tc>
        <w:tc>
          <w:tcPr>
            <w:tcW w:w="1394" w:type="dxa"/>
            <w:vMerge w:val="restart"/>
            <w:noWrap/>
            <w:vAlign w:val="center"/>
            <w:hideMark/>
          </w:tcPr>
          <w:p w14:paraId="17E4078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2201AAC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92 (100%)</w:t>
            </w:r>
          </w:p>
        </w:tc>
        <w:tc>
          <w:tcPr>
            <w:tcW w:w="1394" w:type="dxa"/>
            <w:vMerge w:val="restart"/>
            <w:noWrap/>
            <w:vAlign w:val="center"/>
            <w:hideMark/>
          </w:tcPr>
          <w:p w14:paraId="3500400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88%</w:t>
            </w:r>
          </w:p>
        </w:tc>
        <w:tc>
          <w:tcPr>
            <w:tcW w:w="1438" w:type="dxa"/>
            <w:vMerge w:val="restart"/>
            <w:noWrap/>
            <w:vAlign w:val="center"/>
            <w:hideMark/>
          </w:tcPr>
          <w:p w14:paraId="65A4E9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49F4A2E" w14:textId="77777777" w:rsidTr="00A3759F">
        <w:trPr>
          <w:trHeight w:val="20"/>
        </w:trPr>
        <w:tc>
          <w:tcPr>
            <w:tcW w:w="1444" w:type="dxa"/>
            <w:vMerge/>
            <w:vAlign w:val="center"/>
            <w:hideMark/>
          </w:tcPr>
          <w:p w14:paraId="6955C0B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19CED6A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2F0E32B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EBC731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E9826A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E10953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D3914B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11DC204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After gastrostomy: 11.8 (6.0)</w:t>
            </w:r>
          </w:p>
        </w:tc>
        <w:tc>
          <w:tcPr>
            <w:tcW w:w="1394" w:type="dxa"/>
            <w:vMerge/>
            <w:vAlign w:val="center"/>
            <w:hideMark/>
          </w:tcPr>
          <w:p w14:paraId="44CFD47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41665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A52B04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7141CE9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0B782EE8" w14:textId="77777777" w:rsidTr="00A3759F">
        <w:trPr>
          <w:trHeight w:val="20"/>
        </w:trPr>
        <w:tc>
          <w:tcPr>
            <w:tcW w:w="1444" w:type="dxa"/>
            <w:noWrap/>
            <w:vAlign w:val="center"/>
            <w:hideMark/>
          </w:tcPr>
          <w:p w14:paraId="6DED7996" w14:textId="0172D14F"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Temudo, 2008</w:t>
            </w:r>
            <w:r w:rsidR="00E60EB9" w:rsidRPr="009B66A4">
              <w:rPr>
                <w:rFonts w:ascii="Calibri" w:eastAsia="Times New Roman" w:hAnsi="Calibri" w:cs="Calibri"/>
                <w:kern w:val="0"/>
                <w:sz w:val="20"/>
                <w:szCs w:val="20"/>
                <w14:ligatures w14:val="none"/>
              </w:rPr>
              <w:fldChar w:fldCharType="begin"/>
            </w:r>
            <w:r w:rsidR="00E60EB9" w:rsidRPr="009B66A4">
              <w:rPr>
                <w:rFonts w:ascii="Calibri" w:eastAsia="Times New Roman" w:hAnsi="Calibri" w:cs="Calibri"/>
                <w:kern w:val="0"/>
                <w:sz w:val="20"/>
                <w:szCs w:val="20"/>
                <w14:ligatures w14:val="none"/>
              </w:rPr>
              <w:instrText xml:space="preserve"> ADDIN ZOTERO_ITEM CSL_CITATION {"citationID":"gRXgXlnq","properties":{"formattedCitation":"[130]","plainCitation":"[130]","noteIndex":0},"citationItems":[{"id":2905,"uris":["http://zotero.org/users/11896629/items/7SSC5FPD"],"itemData":{"id":2905,"type":"article-journal","abstract":"Abstract\n            \n              Rett syndrome (RS) is one of the best human models to study movement disorders. Patients evolve from a hyperkinetic to a hypokinetic state, and a large series of abnormal movements may be observed along their lives such as stereotypies, tremor, chorea, myoclonus, ataxia, dystonia, and rigidity. The aim of this work was to analyze movement disorders in RS patients with a detected\n              MECP2\n              mutation, as well as their correlation with genotype, in a clinically and genetically well‐characterized sample of patients, and thus contribute to redefine the clinical profile of this disease. In this study, we included 60 patients with detected\n              MECP2\n              mutations. These were categorized and grouped for analysis, according to (1) type of change (missense or truncating, including nonsense and frameshift but also large deletions) and (2) location of the mutation. Differences were found concerning the frequency of independent gait, dystonia, type of tremor, and global score severity when comparing the group of patients with missense and truncating mutations. We also found differences in the presence, distribution, severity, or type of movement disorders in the two groups of patients according to the median duration of the disease (less than 60 months; 60 months or more). We conclude that movement disorders seem to reflect the severity and rate of progression of Rett disorder, patients with truncating mutations presenting a higher rate and more severe dystonia and rigid‐akinetic syndrome, when comparing groups with similar time of disease evolution. © 2008 Movement Disorder Society","container-title":"Movement Disorders","DOI":"10.1002/mds.22115","ISSN":"0885-3185, 1531-8257","issue":"10","journalAbbreviation":"Movement Disorders","language":"en","license":"http://onlinelibrary.wiley.com/termsAndConditions#vor","page":"1384-1390","source":"DOI.org (Crossref)","title":"Movement disorders in Rett syndrome: An analysis of 60 patients with detected MECP2 mutation and correlation with mutation type","title-short":"Movement disorders in Rett syndrome","volume":"23","author":[{"family":"Temudo","given":"Teresa"},{"family":"Ramos","given":"Elisabete"},{"family":"Dias","given":"Karin"},{"family":"Barbot","given":"Clara"},{"family":"Vieira","given":"Jose P."},{"family":"Moreira","given":"Ana"},{"family":"Calado","given":"Eulalia"},{"family":"Carrilho","given":"Ines"},{"family":"Oliveira","given":"Guiomar"},{"family":"Levy","given":"Antonio"},{"family":"Fonseca","given":"Maria"},{"family":"Cabral","given":"Alexandra"},{"family":"Cabral","given":"Pedro"},{"family":"Monteiro","given":"Joao P"},{"family":"Borges","given":"Luis"},{"family":"Gomes","given":"Roseli"},{"family":"Santos","given":"Manuela"},{"family":"Sequeiros","given":"Jorge"},{"family":"Maciel","given":"Patricia"}],"issued":{"date-parts":[["2008",7,30]]}}}],"schema":"https://github.com/citation-style-language/schema/raw/master/csl-citation.json"} </w:instrText>
            </w:r>
            <w:r w:rsidR="00E60EB9" w:rsidRPr="009B66A4">
              <w:rPr>
                <w:rFonts w:ascii="Calibri" w:eastAsia="Times New Roman" w:hAnsi="Calibri" w:cs="Calibri"/>
                <w:kern w:val="0"/>
                <w:sz w:val="20"/>
                <w:szCs w:val="20"/>
                <w14:ligatures w14:val="none"/>
              </w:rPr>
              <w:fldChar w:fldCharType="separate"/>
            </w:r>
            <w:r w:rsidR="00E60EB9" w:rsidRPr="009B66A4">
              <w:rPr>
                <w:rFonts w:ascii="Calibri" w:hAnsi="Calibri" w:cs="Calibri"/>
                <w:sz w:val="20"/>
                <w:szCs w:val="20"/>
              </w:rPr>
              <w:t>[130]</w:t>
            </w:r>
            <w:r w:rsidR="00E60EB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A5E562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Portugal</w:t>
            </w:r>
          </w:p>
        </w:tc>
        <w:tc>
          <w:tcPr>
            <w:tcW w:w="1316" w:type="dxa"/>
            <w:noWrap/>
            <w:vAlign w:val="center"/>
            <w:hideMark/>
          </w:tcPr>
          <w:p w14:paraId="201B9D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5E795CA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0E478B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7F7DC9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AD6A4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60</w:t>
            </w:r>
          </w:p>
        </w:tc>
        <w:tc>
          <w:tcPr>
            <w:tcW w:w="1682" w:type="dxa"/>
            <w:vAlign w:val="center"/>
            <w:hideMark/>
          </w:tcPr>
          <w:p w14:paraId="276F21C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7.0 months (IQR: 5.0 – 13.5 months)</w:t>
            </w:r>
          </w:p>
        </w:tc>
        <w:tc>
          <w:tcPr>
            <w:tcW w:w="1394" w:type="dxa"/>
            <w:noWrap/>
            <w:vAlign w:val="center"/>
            <w:hideMark/>
          </w:tcPr>
          <w:p w14:paraId="6D6F6E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 (1.6%)</w:t>
            </w:r>
          </w:p>
        </w:tc>
        <w:tc>
          <w:tcPr>
            <w:tcW w:w="1394" w:type="dxa"/>
            <w:noWrap/>
            <w:vAlign w:val="center"/>
            <w:hideMark/>
          </w:tcPr>
          <w:p w14:paraId="66F074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59 (98.4%)</w:t>
            </w:r>
          </w:p>
        </w:tc>
        <w:tc>
          <w:tcPr>
            <w:tcW w:w="1394" w:type="dxa"/>
            <w:noWrap/>
            <w:vAlign w:val="center"/>
            <w:hideMark/>
          </w:tcPr>
          <w:p w14:paraId="31A4FC1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60 (100%)</w:t>
            </w:r>
          </w:p>
        </w:tc>
        <w:tc>
          <w:tcPr>
            <w:tcW w:w="1438" w:type="dxa"/>
            <w:noWrap/>
            <w:vAlign w:val="center"/>
            <w:hideMark/>
          </w:tcPr>
          <w:p w14:paraId="21671AB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F111D76" w14:textId="77777777" w:rsidTr="00A3759F">
        <w:trPr>
          <w:trHeight w:val="20"/>
        </w:trPr>
        <w:tc>
          <w:tcPr>
            <w:tcW w:w="1444" w:type="dxa"/>
            <w:noWrap/>
            <w:vAlign w:val="center"/>
            <w:hideMark/>
          </w:tcPr>
          <w:p w14:paraId="1CAC20A6" w14:textId="52653128"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Downs, 2008</w:t>
            </w:r>
            <w:r w:rsidR="00E60EB9" w:rsidRPr="009B66A4">
              <w:rPr>
                <w:rFonts w:ascii="Calibri" w:eastAsia="Times New Roman" w:hAnsi="Calibri" w:cs="Calibri"/>
                <w:kern w:val="0"/>
                <w:sz w:val="20"/>
                <w:szCs w:val="20"/>
                <w14:ligatures w14:val="none"/>
              </w:rPr>
              <w:fldChar w:fldCharType="begin"/>
            </w:r>
            <w:r w:rsidR="00F72392" w:rsidRPr="009B66A4">
              <w:rPr>
                <w:rFonts w:ascii="Calibri" w:eastAsia="Times New Roman" w:hAnsi="Calibri" w:cs="Calibri"/>
                <w:kern w:val="0"/>
                <w:sz w:val="20"/>
                <w:szCs w:val="20"/>
                <w14:ligatures w14:val="none"/>
              </w:rPr>
              <w:instrText xml:space="preserve"> ADDIN ZOTERO_ITEM CSL_CITATION {"citationID":"pzR1wsJ6","properties":{"formattedCitation":"[131]","plainCitation":"[131]","noteIndex":0},"citationItems":[{"id":3310,"uris":["http://zotero.org/users/11896629/items/WD6XVBY9"],"itemData":{"id":3310,"type":"article-journal","abstract":"OBJECTIVES. The goals were to compare the fracture incidence in Rett syndrome with that in the general population and to investigate the impact of genotype, epilepsy, and early motor skills on subsequent fracture incidence in girls and young women with Rett syndrome.\n            METHODS. The Australian Rett syndrome study, a population-based study operating since 1993, investigated Australian subjects with Rett syndrome born since 1976. The 234 (81.2%) of 288 verified cases in the Australian Rett syndrome database in 2004 whose families had completed follow-up questionnaires and provided information about fracture history were included in the analyses. The main outcomes were fracture incidence in the Rett syndrome population and fracture risk according to genotype, presence of epilepsy, and early motor profile.\n            RESULTS. Fracture incidence in this cohort was 43.3 episodes per 1000 person-years, nearly 4 times greater than the population rate. Risk was increased specifically in cases with p.R270X mutations and in cases with p.R168X mutations. Having epilepsy also increased fracture risk, even after adjustment for genotype.\n            CONCLUSIONS. Girls and young women with Rett syndrome are at increased risk of fracture. Those with mutations found previously to be more severe and those with epilepsy have an increased propensity toward fractures. Improved understanding of the risk factors for fracture could contribute to better targeting of interventions to decrease fracture incidence in this vulnerable population.","container-title":"Pediatrics","DOI":"10.1542/peds.2007-1641","ISSN":"0031-4005, 1098-4275","issue":"3","language":"en","page":"540-546","source":"DOI.org (Crossref)","title":"Early Determinants of Fractures in Rett Syndrome","volume":"121","author":[{"family":"Downs","given":"Jennepher"},{"family":"Bebbington","given":"Ami"},{"family":"Woodhead","given":"Helen"},{"family":"Jacoby","given":"Peter"},{"family":"Jian","given":"Le"},{"family":"Jefferson","given":"Amanda"},{"family":"Leonard","given":"Helen"}],"issued":{"date-parts":[["2008",3,1]]}}}],"schema":"https://github.com/citation-style-language/schema/raw/master/csl-citation.json"} </w:instrText>
            </w:r>
            <w:r w:rsidR="00E60EB9" w:rsidRPr="009B66A4">
              <w:rPr>
                <w:rFonts w:ascii="Calibri" w:eastAsia="Times New Roman" w:hAnsi="Calibri" w:cs="Calibri"/>
                <w:kern w:val="0"/>
                <w:sz w:val="20"/>
                <w:szCs w:val="20"/>
                <w14:ligatures w14:val="none"/>
              </w:rPr>
              <w:fldChar w:fldCharType="separate"/>
            </w:r>
            <w:r w:rsidR="00F72392" w:rsidRPr="009B66A4">
              <w:rPr>
                <w:rFonts w:ascii="Calibri" w:hAnsi="Calibri" w:cs="Calibri"/>
                <w:sz w:val="20"/>
                <w:szCs w:val="20"/>
              </w:rPr>
              <w:t>[131]</w:t>
            </w:r>
            <w:r w:rsidR="00E60EB9"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126D33C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026851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vAlign w:val="center"/>
            <w:hideMark/>
          </w:tcPr>
          <w:p w14:paraId="7704DC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109B7E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851240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1BE11D5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234</w:t>
            </w:r>
          </w:p>
        </w:tc>
        <w:tc>
          <w:tcPr>
            <w:tcW w:w="1682" w:type="dxa"/>
            <w:vAlign w:val="center"/>
            <w:hideMark/>
          </w:tcPr>
          <w:p w14:paraId="262EFD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14.7 (Range: 2 – 29)</w:t>
            </w:r>
          </w:p>
        </w:tc>
        <w:tc>
          <w:tcPr>
            <w:tcW w:w="1394" w:type="dxa"/>
            <w:noWrap/>
            <w:vAlign w:val="center"/>
            <w:hideMark/>
          </w:tcPr>
          <w:p w14:paraId="73B0A34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5A7432D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234 (100%)</w:t>
            </w:r>
          </w:p>
        </w:tc>
        <w:tc>
          <w:tcPr>
            <w:tcW w:w="1394" w:type="dxa"/>
            <w:noWrap/>
            <w:vAlign w:val="center"/>
            <w:hideMark/>
          </w:tcPr>
          <w:p w14:paraId="36CFDC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164 (70.09%)</w:t>
            </w:r>
          </w:p>
        </w:tc>
        <w:tc>
          <w:tcPr>
            <w:tcW w:w="1438" w:type="dxa"/>
            <w:noWrap/>
            <w:vAlign w:val="center"/>
            <w:hideMark/>
          </w:tcPr>
          <w:p w14:paraId="5F4E6F4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323E34A" w14:textId="77777777" w:rsidTr="00A3759F">
        <w:trPr>
          <w:trHeight w:val="20"/>
        </w:trPr>
        <w:tc>
          <w:tcPr>
            <w:tcW w:w="1444" w:type="dxa"/>
            <w:noWrap/>
            <w:vAlign w:val="center"/>
            <w:hideMark/>
          </w:tcPr>
          <w:p w14:paraId="2EA42A0F" w14:textId="5E21F92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Halbach, 2008</w:t>
            </w:r>
            <w:r w:rsidR="00F72392" w:rsidRPr="009B66A4">
              <w:rPr>
                <w:rFonts w:ascii="Calibri" w:eastAsia="Times New Roman" w:hAnsi="Calibri" w:cs="Calibri"/>
                <w:kern w:val="0"/>
                <w:sz w:val="20"/>
                <w:szCs w:val="20"/>
                <w14:ligatures w14:val="none"/>
              </w:rPr>
              <w:t xml:space="preserve"> </w:t>
            </w:r>
            <w:r w:rsidR="00F72392" w:rsidRPr="009B66A4">
              <w:rPr>
                <w:rFonts w:ascii="Calibri" w:eastAsia="Times New Roman" w:hAnsi="Calibri" w:cs="Calibri"/>
                <w:kern w:val="0"/>
                <w:sz w:val="20"/>
                <w:szCs w:val="20"/>
                <w14:ligatures w14:val="none"/>
              </w:rPr>
              <w:fldChar w:fldCharType="begin"/>
            </w:r>
            <w:r w:rsidR="00043972" w:rsidRPr="009B66A4">
              <w:rPr>
                <w:rFonts w:ascii="Calibri" w:eastAsia="Times New Roman" w:hAnsi="Calibri" w:cs="Calibri"/>
                <w:kern w:val="0"/>
                <w:sz w:val="20"/>
                <w:szCs w:val="20"/>
                <w14:ligatures w14:val="none"/>
              </w:rPr>
              <w:instrText xml:space="preserve"> ADDIN ZOTERO_ITEM CSL_CITATION {"citationID":"3GEKqEGw","properties":{"formattedCitation":"[132]","plainCitation":"[132]","noteIndex":0},"citationItems":[{"id":3498,"uris":["http://zotero.org/users/11896629/items/7UF2Y3FV"],"itemData":{"id":3498,"type":"article-journal","abstract":"Abstract\n            The aging process of people with intellectual disabilities has been a topic of interest in recent years. Good knowledge of the specific healthcare problems in adults with intellectual disabilities and anticipating on these problems are important issues in providing support and healthcare for these persons. Nevertheless little is known about the aging process of people with specific syndromes, like Rett syndrome. In association with the Dutch Rett syndrome parent association, 70 postal questionnaires were sent to the contact persons of the females aged at least 16 years with a clinical diagnosis of Rett syndrome. The questionnaire consisted of general questions, questions about living conditions, skills, physical and psychiatric morbidity. The response rate was 76% (n = 53). In general adults with Rett syndrome seemed to be reasonably healthy, whereas neurological, respiratory and behavioral morbidity appeared to be of great influence. High care dependency was confirmed. In contrast with underweight, overweight showed to be an under‐ascertained feature. The general disorder profile was confirmed, considering the increase with age regarding kyphosis and the better communication and autonomic dysfunction in the oldest age group compared to the younger age groups. Features of autonomic dysfunction deserve more medical attention, especially the interrelation between quality of sleep, respiration and behavior in Rett syndrome. Longitudinal studies including genotype–phenotype analyses are needed for insight in individual changes in support needs and health. © 2008 Wiley‐Liss, Inc.","container-title":"American Journal of Medical Genetics Part A","DOI":"10.1002/ajmg.a.32361","ISSN":"1552-4825, 1552-4833","issue":"15","journalAbbreviation":"American J of Med Genetics Pt A","language":"en","license":"http://onlinelibrary.wiley.com/termsAndConditions#vor","page":"1925-1932","source":"DOI.org (Crossref)","title":"Aging in people with specific genetic syndromes: Rett syndrome","title-short":"Aging in people with specific genetic syndromes","volume":"146A","author":[{"family":"Halbach","given":"Nicky S.J."},{"family":"Smeets","given":"Eric E.J."},{"family":"Schrander‐Stumpel","given":"Connie T.R.M."},{"family":"Van Schrojenstein Lantman De Valk","given":"Henny H.J."},{"family":"Maaskant","given":"Marian A."},{"family":"Curfs","given":"Leopold M.G."}],"issued":{"date-parts":[["2008",8]]}}}],"schema":"https://github.com/citation-style-language/schema/raw/master/csl-citation.json"} </w:instrText>
            </w:r>
            <w:r w:rsidR="00F72392" w:rsidRPr="009B66A4">
              <w:rPr>
                <w:rFonts w:ascii="Calibri" w:eastAsia="Times New Roman" w:hAnsi="Calibri" w:cs="Calibri"/>
                <w:kern w:val="0"/>
                <w:sz w:val="20"/>
                <w:szCs w:val="20"/>
                <w14:ligatures w14:val="none"/>
              </w:rPr>
              <w:fldChar w:fldCharType="separate"/>
            </w:r>
            <w:r w:rsidR="00043972" w:rsidRPr="009B66A4">
              <w:rPr>
                <w:rFonts w:ascii="Calibri" w:hAnsi="Calibri" w:cs="Calibri"/>
                <w:sz w:val="20"/>
                <w:szCs w:val="20"/>
              </w:rPr>
              <w:t>[132]</w:t>
            </w:r>
            <w:r w:rsidR="00F72392"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6AEE54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Netherlands</w:t>
            </w:r>
          </w:p>
        </w:tc>
        <w:tc>
          <w:tcPr>
            <w:tcW w:w="1316" w:type="dxa"/>
            <w:noWrap/>
            <w:vAlign w:val="center"/>
            <w:hideMark/>
          </w:tcPr>
          <w:p w14:paraId="542883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3147CE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ABDC1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CA709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F35658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53</w:t>
            </w:r>
          </w:p>
        </w:tc>
        <w:tc>
          <w:tcPr>
            <w:tcW w:w="1682" w:type="dxa"/>
            <w:noWrap/>
            <w:vAlign w:val="center"/>
            <w:hideMark/>
          </w:tcPr>
          <w:p w14:paraId="7E84B2F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26.9</w:t>
            </w:r>
          </w:p>
        </w:tc>
        <w:tc>
          <w:tcPr>
            <w:tcW w:w="1394" w:type="dxa"/>
            <w:noWrap/>
            <w:vAlign w:val="center"/>
            <w:hideMark/>
          </w:tcPr>
          <w:p w14:paraId="43D3E1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3279890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53 (100%)</w:t>
            </w:r>
          </w:p>
        </w:tc>
        <w:tc>
          <w:tcPr>
            <w:tcW w:w="1394" w:type="dxa"/>
            <w:vAlign w:val="center"/>
            <w:hideMark/>
          </w:tcPr>
          <w:p w14:paraId="7B8A75A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32 (58%)</w:t>
            </w:r>
          </w:p>
        </w:tc>
        <w:tc>
          <w:tcPr>
            <w:tcW w:w="1438" w:type="dxa"/>
            <w:noWrap/>
            <w:vAlign w:val="center"/>
            <w:hideMark/>
          </w:tcPr>
          <w:p w14:paraId="09D09D0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102DF96" w14:textId="77777777" w:rsidTr="00A3759F">
        <w:trPr>
          <w:trHeight w:val="20"/>
        </w:trPr>
        <w:tc>
          <w:tcPr>
            <w:tcW w:w="1444" w:type="dxa"/>
            <w:noWrap/>
            <w:vAlign w:val="center"/>
            <w:hideMark/>
          </w:tcPr>
          <w:p w14:paraId="32D36301" w14:textId="19BE1FB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Schwartzman, 2008</w:t>
            </w:r>
            <w:r w:rsidR="00043972" w:rsidRPr="009B66A4">
              <w:rPr>
                <w:rFonts w:ascii="Calibri" w:eastAsia="Times New Roman" w:hAnsi="Calibri" w:cs="Calibri"/>
                <w:kern w:val="0"/>
                <w:sz w:val="20"/>
                <w:szCs w:val="20"/>
                <w14:ligatures w14:val="none"/>
              </w:rPr>
              <w:fldChar w:fldCharType="begin"/>
            </w:r>
            <w:r w:rsidR="00043972" w:rsidRPr="009B66A4">
              <w:rPr>
                <w:rFonts w:ascii="Calibri" w:eastAsia="Times New Roman" w:hAnsi="Calibri" w:cs="Calibri"/>
                <w:kern w:val="0"/>
                <w:sz w:val="20"/>
                <w:szCs w:val="20"/>
                <w14:ligatures w14:val="none"/>
              </w:rPr>
              <w:instrText xml:space="preserve"> ADDIN ZOTERO_ITEM CSL_CITATION {"citationID":"nillS4nV","properties":{"formattedCitation":"[133]","plainCitation":"[133]","noteIndex":0},"citationItems":[{"id":3321,"uris":["http://zotero.org/users/11896629/items/4EJ2J9XP"],"itemData":{"id":3321,"type":"article-journal","abstract":"BACKGROUND: Disturbance in chewing, swallowing and digestive motility may predispose to feeding and nutritional abnormalities in patients with Rett syndrome. OBJECTIVE: To evaluate the dietary habits, nutritional status and the prevalence of constipation in patients with classical Rett syndrome. METHODS: Twenty seven female patients between the ages of 2.6 and 21.8 years were studied. The following parameters were evaluated: food register, weight, height and intestinal movement characteristics. Weight and height were compared with the National Center for Health Statistics standards. RESULTS: The inability to ingest solid foods was observed in 80.8% of the patients. A height-to-age deficit was observed in 13 (48.1%) of the girls, being more intense in patients at stage IV. Weight-for-height deficit was found in 10 (37.0%) patients, 15 (55.6%) showed normal weight and 2 (7.4%) were overweight for their height. The median ingestion of energy, according to weight-for-height, was equal to 106.6%. Insufficient iron ingestion was observed in 63.0% and insufficient calcium in 55.6% of the patients. Constipation was verified in 74.1% of the patients and did not show a relationship with the quantity of fiber in the diet. CONCLUSION: Various nutritional problems, as well as, intestinal constipation were observed in these patients with Rett syndrome, and they must be considered in the multidisciplinary therapeutic planning of these individuals.\n          , \n            RACIONAL: Distúrbios na mastigação, deglutição e motilidade digestiva podem predispor pacientes com síndrome de Rett à ocorrência de anormalidades nutricionais. OBJETIVOS: Avaliar as práticas alimentares, o estado nutricional e a prevalência de constipação na síndrome de Rett clássica. MÉTODOS: Estudaram-se 27 pacientes do sexo feminino, com idade entre 2,6 e 21,8 anos. Avaliaram-se os seguintes parâmetros: registros alimentares, peso, estatura, características do hábito intestinal. Peso e estatura foram comparados com os valores do Centro Nacional para Estatísticas da Saúde (EUA). RESULTADOS: Incapacidade para ingerir alimentos sólidos foi observada em 80,8% das pacientes. Déficit de estatura foi observado em 13 (48,1%) meninas, sendo mais intenso nas pacientes no estágio IV. Déficit de estatura para a idade foi observado em 13 (48,1%) pacientes. Em 10 (37,0%) pacientes encontrou-se déficit de peso para a estatura, 15 (55,6%) apresentaram peso normal e duas (7,4%) sobrepeso para a estatura. A ingestão mediana de energia, segundo o peso para a estatura foi igual a 106,6%. Ingestão insuficiente de ferro foi observada em 63% e de cálcio em 55,6% das pacientes. Constipação foi verificada em 74,1% das pacientes e não apresentou relação com a quantidade de fibra alimentar na dieta. CONCLUSÃO: Observou-se elevada ocorrência de problemas nutricionais e de constipação intestinal, que devem ser considerados no planejamento terapêutico multidisciplinar destinado às pacientes com síndrome de Rett.","container-title":"Arquivos de Gastroenterologia","DOI":"10.1590/S0004-28032008000400005","ISSN":"0004-2803","issue":"4","journalAbbreviation":"Arq. Gastroenterol.","page":"284-289","source":"DOI.org (Crossref)","title":"Eating practices, nutritional status and constipation in patients with Rett syndrome","volume":"45","author":[{"family":"Schwartzman","given":"Flavia"},{"family":"Vítolo","given":"Márcia Regina"},{"family":"Schwartzman","given":"José Salomão"},{"family":"Morais","given":"Mauro Batista De"}],"issued":{"date-parts":[["2008",12]]}}}],"schema":"https://github.com/citation-style-language/schema/raw/master/csl-citation.json"} </w:instrText>
            </w:r>
            <w:r w:rsidR="00043972" w:rsidRPr="009B66A4">
              <w:rPr>
                <w:rFonts w:ascii="Calibri" w:eastAsia="Times New Roman" w:hAnsi="Calibri" w:cs="Calibri"/>
                <w:kern w:val="0"/>
                <w:sz w:val="20"/>
                <w:szCs w:val="20"/>
                <w14:ligatures w14:val="none"/>
              </w:rPr>
              <w:fldChar w:fldCharType="separate"/>
            </w:r>
            <w:r w:rsidR="00043972" w:rsidRPr="009B66A4">
              <w:rPr>
                <w:rFonts w:ascii="Calibri" w:hAnsi="Calibri" w:cs="Calibri"/>
                <w:sz w:val="20"/>
                <w:szCs w:val="20"/>
              </w:rPr>
              <w:t>[133]</w:t>
            </w:r>
            <w:r w:rsidR="00043972"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289DE0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Brazil</w:t>
            </w:r>
          </w:p>
        </w:tc>
        <w:tc>
          <w:tcPr>
            <w:tcW w:w="1316" w:type="dxa"/>
            <w:noWrap/>
            <w:vAlign w:val="center"/>
            <w:hideMark/>
          </w:tcPr>
          <w:p w14:paraId="2E17830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570A0D9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37B82B3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F5F33F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7258CFF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27</w:t>
            </w:r>
          </w:p>
        </w:tc>
        <w:tc>
          <w:tcPr>
            <w:tcW w:w="1682" w:type="dxa"/>
            <w:vAlign w:val="center"/>
            <w:hideMark/>
          </w:tcPr>
          <w:p w14:paraId="542FE7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Range: 2.6 – 21years</w:t>
            </w:r>
          </w:p>
        </w:tc>
        <w:tc>
          <w:tcPr>
            <w:tcW w:w="1394" w:type="dxa"/>
            <w:noWrap/>
            <w:vAlign w:val="center"/>
            <w:hideMark/>
          </w:tcPr>
          <w:p w14:paraId="4CC4106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8B5E03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27 (100%)</w:t>
            </w:r>
          </w:p>
        </w:tc>
        <w:tc>
          <w:tcPr>
            <w:tcW w:w="1394" w:type="dxa"/>
            <w:vAlign w:val="center"/>
            <w:hideMark/>
          </w:tcPr>
          <w:p w14:paraId="14684D1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006154E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D072A59" w14:textId="77777777" w:rsidTr="00A3759F">
        <w:trPr>
          <w:trHeight w:val="20"/>
        </w:trPr>
        <w:tc>
          <w:tcPr>
            <w:tcW w:w="1444" w:type="dxa"/>
            <w:noWrap/>
            <w:vAlign w:val="center"/>
            <w:hideMark/>
          </w:tcPr>
          <w:p w14:paraId="564843C6" w14:textId="46B0891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Motil, 2008</w:t>
            </w:r>
            <w:r w:rsidR="00043972" w:rsidRPr="009B66A4">
              <w:rPr>
                <w:rFonts w:ascii="Calibri" w:eastAsia="Times New Roman" w:hAnsi="Calibri" w:cs="Calibri"/>
                <w:kern w:val="0"/>
                <w:sz w:val="20"/>
                <w:szCs w:val="20"/>
                <w14:ligatures w14:val="none"/>
              </w:rPr>
              <w:fldChar w:fldCharType="begin"/>
            </w:r>
            <w:r w:rsidR="0057784B" w:rsidRPr="009B66A4">
              <w:rPr>
                <w:rFonts w:ascii="Calibri" w:eastAsia="Times New Roman" w:hAnsi="Calibri" w:cs="Calibri"/>
                <w:kern w:val="0"/>
                <w:sz w:val="20"/>
                <w:szCs w:val="20"/>
                <w14:ligatures w14:val="none"/>
              </w:rPr>
              <w:instrText xml:space="preserve"> ADDIN ZOTERO_ITEM CSL_CITATION {"citationID":"Odp30QZp","properties":{"formattedCitation":"[134]","plainCitation":"[134]","noteIndex":0},"citationItems":[{"id":3499,"uris":["http://zotero.org/users/11896629/items/JLQ88UN8"],"itemData":{"id":3499,"type":"article-journal","container-title":"Pediatric Research","DOI":"10.1203/PDR.0b013e318180ebcd","ISSN":"0031-3998, 1530-0447","issue":"4","journalAbbreviation":"Pediatr Res","page":"435-439","source":"DOI.org (Crossref)","title":"Bone Mineral Content and Bone Mineral Density Are Lower in Older Than in Younger Females With Rett Syndrome","volume":"64","author":[{"family":"Motil","given":"Kathleen J"},{"family":"Ellis","given":"Kenneth J"},{"family":"Barrish","given":"Judy O"},{"family":"Caeg","given":"Erwin"},{"family":"Glaze","given":"Daniel G"}],"issued":{"date-parts":[["2008",10]]}}}],"schema":"https://github.com/citation-style-language/schema/raw/master/csl-citation.json"} </w:instrText>
            </w:r>
            <w:r w:rsidR="00043972" w:rsidRPr="009B66A4">
              <w:rPr>
                <w:rFonts w:ascii="Calibri" w:eastAsia="Times New Roman" w:hAnsi="Calibri" w:cs="Calibri"/>
                <w:kern w:val="0"/>
                <w:sz w:val="20"/>
                <w:szCs w:val="20"/>
                <w14:ligatures w14:val="none"/>
              </w:rPr>
              <w:fldChar w:fldCharType="separate"/>
            </w:r>
            <w:r w:rsidR="0057784B" w:rsidRPr="009B66A4">
              <w:rPr>
                <w:rFonts w:ascii="Calibri" w:hAnsi="Calibri" w:cs="Calibri"/>
                <w:sz w:val="20"/>
                <w:szCs w:val="20"/>
              </w:rPr>
              <w:t>[134]</w:t>
            </w:r>
            <w:r w:rsidR="00043972"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2D5CF9B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62E3D1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58E1FE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0E761B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79C8A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B8BE5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w:t>
            </w:r>
          </w:p>
        </w:tc>
        <w:tc>
          <w:tcPr>
            <w:tcW w:w="1682" w:type="dxa"/>
            <w:noWrap/>
            <w:vAlign w:val="center"/>
            <w:hideMark/>
          </w:tcPr>
          <w:p w14:paraId="50EA43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61B1A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18DA0C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 (100%)</w:t>
            </w:r>
          </w:p>
        </w:tc>
        <w:tc>
          <w:tcPr>
            <w:tcW w:w="1394" w:type="dxa"/>
            <w:vAlign w:val="center"/>
            <w:hideMark/>
          </w:tcPr>
          <w:p w14:paraId="00198FF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50 (100%)</w:t>
            </w:r>
          </w:p>
        </w:tc>
        <w:tc>
          <w:tcPr>
            <w:tcW w:w="1438" w:type="dxa"/>
            <w:vAlign w:val="center"/>
            <w:hideMark/>
          </w:tcPr>
          <w:p w14:paraId="6FB425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661B455A" w14:textId="77777777" w:rsidTr="00A3759F">
        <w:trPr>
          <w:trHeight w:val="20"/>
        </w:trPr>
        <w:tc>
          <w:tcPr>
            <w:tcW w:w="1444" w:type="dxa"/>
            <w:vMerge w:val="restart"/>
            <w:noWrap/>
            <w:vAlign w:val="center"/>
            <w:hideMark/>
          </w:tcPr>
          <w:p w14:paraId="46F0953D" w14:textId="6D22999D"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Jian, 2007</w:t>
            </w:r>
            <w:r w:rsidR="0057784B" w:rsidRPr="009B66A4">
              <w:rPr>
                <w:rFonts w:ascii="Calibri" w:eastAsia="Times New Roman" w:hAnsi="Calibri" w:cs="Calibri"/>
                <w:kern w:val="0"/>
                <w:sz w:val="20"/>
                <w:szCs w:val="20"/>
                <w14:ligatures w14:val="none"/>
              </w:rPr>
              <w:fldChar w:fldCharType="begin"/>
            </w:r>
            <w:r w:rsidR="0026723D" w:rsidRPr="009B66A4">
              <w:rPr>
                <w:rFonts w:ascii="Calibri" w:eastAsia="Times New Roman" w:hAnsi="Calibri" w:cs="Calibri"/>
                <w:kern w:val="0"/>
                <w:sz w:val="20"/>
                <w:szCs w:val="20"/>
                <w14:ligatures w14:val="none"/>
              </w:rPr>
              <w:instrText xml:space="preserve"> ADDIN ZOTERO_ITEM CSL_CITATION {"citationID":"bmBOdkJf","properties":{"formattedCitation":"[135]","plainCitation":"[135]","noteIndex":0},"citationItems":[{"id":3500,"uris":["http://zotero.org/users/11896629/items/WXSDV5EJ"],"itemData":{"id":3500,"type":"article-journal","container-title":"European Journal of Paediatric Neurology","DOI":"10.1016/j.ejpn.2007.02.008","ISSN":"10903798","issue":"5","journalAbbreviation":"European Journal of Paediatric Neurology","language":"en","license":"https://www.elsevier.com/tdm/userlicense/1.0/","page":"310-317","source":"DOI.org (Crossref)","title":"Seizures in Rett syndrome: An overview from a one-year calendar study","title-short":"Seizures in Rett syndrome","volume":"11","author":[{"family":"Jian","given":"Le"},{"family":"Nagarajan","given":"Lakshmi"},{"family":"De Klerk","given":"Nicholas"},{"family":"Ravine","given":"David"},{"family":"Christodoulou","given":"John"},{"family":"Leonard","given":"Helen"}],"issued":{"date-parts":[["2007",9]]}}}],"schema":"https://github.com/citation-style-language/schema/raw/master/csl-citation.json"} </w:instrText>
            </w:r>
            <w:r w:rsidR="0057784B" w:rsidRPr="009B66A4">
              <w:rPr>
                <w:rFonts w:ascii="Calibri" w:eastAsia="Times New Roman" w:hAnsi="Calibri" w:cs="Calibri"/>
                <w:kern w:val="0"/>
                <w:sz w:val="20"/>
                <w:szCs w:val="20"/>
                <w14:ligatures w14:val="none"/>
              </w:rPr>
              <w:fldChar w:fldCharType="separate"/>
            </w:r>
            <w:r w:rsidR="0026723D" w:rsidRPr="009B66A4">
              <w:rPr>
                <w:rFonts w:ascii="Calibri" w:hAnsi="Calibri" w:cs="Calibri"/>
                <w:sz w:val="20"/>
                <w:szCs w:val="20"/>
              </w:rPr>
              <w:t>[135]</w:t>
            </w:r>
            <w:r w:rsidR="0057784B"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169A173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vMerge w:val="restart"/>
            <w:noWrap/>
            <w:vAlign w:val="center"/>
            <w:hideMark/>
          </w:tcPr>
          <w:p w14:paraId="3079221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vMerge w:val="restart"/>
            <w:noWrap/>
            <w:vAlign w:val="center"/>
            <w:hideMark/>
          </w:tcPr>
          <w:p w14:paraId="321EDF3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656741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45491F5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214379B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162</w:t>
            </w:r>
          </w:p>
        </w:tc>
        <w:tc>
          <w:tcPr>
            <w:tcW w:w="1682" w:type="dxa"/>
            <w:vAlign w:val="center"/>
            <w:hideMark/>
          </w:tcPr>
          <w:p w14:paraId="34A1FF2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Epilepsy cases: 14</w:t>
            </w:r>
          </w:p>
        </w:tc>
        <w:tc>
          <w:tcPr>
            <w:tcW w:w="1394" w:type="dxa"/>
            <w:vMerge w:val="restart"/>
            <w:vAlign w:val="center"/>
            <w:hideMark/>
          </w:tcPr>
          <w:p w14:paraId="45C7786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1062E87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162 (100%)</w:t>
            </w:r>
          </w:p>
        </w:tc>
        <w:tc>
          <w:tcPr>
            <w:tcW w:w="1394" w:type="dxa"/>
            <w:vMerge w:val="restart"/>
            <w:vAlign w:val="center"/>
            <w:hideMark/>
          </w:tcPr>
          <w:p w14:paraId="3D7C66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118 (72.6%)</w:t>
            </w:r>
          </w:p>
        </w:tc>
        <w:tc>
          <w:tcPr>
            <w:tcW w:w="1438" w:type="dxa"/>
            <w:vMerge w:val="restart"/>
            <w:vAlign w:val="center"/>
            <w:hideMark/>
          </w:tcPr>
          <w:p w14:paraId="686AD93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402F313D" w14:textId="77777777" w:rsidTr="00A3759F">
        <w:trPr>
          <w:trHeight w:val="20"/>
        </w:trPr>
        <w:tc>
          <w:tcPr>
            <w:tcW w:w="1444" w:type="dxa"/>
            <w:vMerge/>
            <w:vAlign w:val="center"/>
            <w:hideMark/>
          </w:tcPr>
          <w:p w14:paraId="3F40870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29880E2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392B68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0E70DE7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B124B8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7E82F8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174B58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4563A65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Without epilepsy: 10.1</w:t>
            </w:r>
          </w:p>
        </w:tc>
        <w:tc>
          <w:tcPr>
            <w:tcW w:w="1394" w:type="dxa"/>
            <w:vMerge/>
            <w:vAlign w:val="center"/>
            <w:hideMark/>
          </w:tcPr>
          <w:p w14:paraId="1AF17CA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D48B23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8EAD39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53C4CE6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6A9749C0" w14:textId="77777777" w:rsidTr="00A3759F">
        <w:trPr>
          <w:trHeight w:val="20"/>
        </w:trPr>
        <w:tc>
          <w:tcPr>
            <w:tcW w:w="1444" w:type="dxa"/>
            <w:noWrap/>
            <w:vAlign w:val="center"/>
            <w:hideMark/>
          </w:tcPr>
          <w:p w14:paraId="6D80D99C" w14:textId="04F2BB8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Huppke, 2007</w:t>
            </w:r>
            <w:r w:rsidR="0026723D" w:rsidRPr="009B66A4">
              <w:rPr>
                <w:rFonts w:ascii="Calibri" w:eastAsia="Times New Roman" w:hAnsi="Calibri" w:cs="Calibri"/>
                <w:kern w:val="0"/>
                <w:sz w:val="20"/>
                <w:szCs w:val="20"/>
                <w14:ligatures w14:val="none"/>
              </w:rPr>
              <w:fldChar w:fldCharType="begin"/>
            </w:r>
            <w:r w:rsidR="00D8711D" w:rsidRPr="009B66A4">
              <w:rPr>
                <w:rFonts w:ascii="Calibri" w:eastAsia="Times New Roman" w:hAnsi="Calibri" w:cs="Calibri"/>
                <w:kern w:val="0"/>
                <w:sz w:val="20"/>
                <w:szCs w:val="20"/>
                <w14:ligatures w14:val="none"/>
              </w:rPr>
              <w:instrText xml:space="preserve"> ADDIN ZOTERO_ITEM CSL_CITATION {"citationID":"CzCYJYfC","properties":{"formattedCitation":"[136]","plainCitation":"[136]","noteIndex":0},"citationItems":[{"id":3502,"uris":["http://zotero.org/users/11896629/items/U3MTAR2G"],"itemData":{"id":3502,"type":"article-journal","container-title":"European Journal of Paediatric Neurology","DOI":"10.1016/j.ejpn.2006.09.003","ISSN":"10903798","issue":"1","journalAbbreviation":"European Journal of Paediatric Neurology","language":"en","license":"https://www.elsevier.com/tdm/userlicense/1.0/","page":"10-16","source":"DOI.org (Crossref)","title":"Treatment of epilepsy in Rett syndrome","volume":"11","author":[{"family":"Huppke","given":"Peter"},{"family":"Köhler","given":"Karola"},{"family":"Brockmann","given":"Knut"},{"family":"Stettner","given":"Georg M."},{"family":"Gärtner","given":"Jutta"}],"issued":{"date-parts":[["2007",1]]}}}],"schema":"https://github.com/citation-style-language/schema/raw/master/csl-citation.json"} </w:instrText>
            </w:r>
            <w:r w:rsidR="0026723D" w:rsidRPr="009B66A4">
              <w:rPr>
                <w:rFonts w:ascii="Calibri" w:eastAsia="Times New Roman" w:hAnsi="Calibri" w:cs="Calibri"/>
                <w:kern w:val="0"/>
                <w:sz w:val="20"/>
                <w:szCs w:val="20"/>
                <w14:ligatures w14:val="none"/>
              </w:rPr>
              <w:fldChar w:fldCharType="separate"/>
            </w:r>
            <w:r w:rsidR="00D8711D" w:rsidRPr="009B66A4">
              <w:rPr>
                <w:rFonts w:ascii="Calibri" w:hAnsi="Calibri" w:cs="Calibri"/>
                <w:sz w:val="20"/>
                <w:szCs w:val="20"/>
              </w:rPr>
              <w:t>[136]</w:t>
            </w:r>
            <w:r w:rsidR="0026723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329177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Germany</w:t>
            </w:r>
          </w:p>
        </w:tc>
        <w:tc>
          <w:tcPr>
            <w:tcW w:w="1316" w:type="dxa"/>
            <w:noWrap/>
            <w:vAlign w:val="center"/>
            <w:hideMark/>
          </w:tcPr>
          <w:p w14:paraId="5A7598A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vAlign w:val="center"/>
            <w:hideMark/>
          </w:tcPr>
          <w:p w14:paraId="6C6D2A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32F197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794FA36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7F3CCC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64</w:t>
            </w:r>
          </w:p>
        </w:tc>
        <w:tc>
          <w:tcPr>
            <w:tcW w:w="1682" w:type="dxa"/>
            <w:vAlign w:val="center"/>
            <w:hideMark/>
          </w:tcPr>
          <w:p w14:paraId="5A8DD17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 10 years (Range: 3 – 48 years).</w:t>
            </w:r>
          </w:p>
        </w:tc>
        <w:tc>
          <w:tcPr>
            <w:tcW w:w="1394" w:type="dxa"/>
            <w:noWrap/>
            <w:vAlign w:val="center"/>
            <w:hideMark/>
          </w:tcPr>
          <w:p w14:paraId="0DAAE0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6F797FF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64 (100%)</w:t>
            </w:r>
          </w:p>
        </w:tc>
        <w:tc>
          <w:tcPr>
            <w:tcW w:w="1394" w:type="dxa"/>
            <w:noWrap/>
            <w:vAlign w:val="center"/>
            <w:hideMark/>
          </w:tcPr>
          <w:p w14:paraId="232F3F5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64 (100%)</w:t>
            </w:r>
          </w:p>
        </w:tc>
        <w:tc>
          <w:tcPr>
            <w:tcW w:w="1438" w:type="dxa"/>
            <w:noWrap/>
            <w:vAlign w:val="center"/>
            <w:hideMark/>
          </w:tcPr>
          <w:p w14:paraId="669E866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CFC0ADE" w14:textId="77777777" w:rsidTr="00A3759F">
        <w:trPr>
          <w:trHeight w:val="20"/>
        </w:trPr>
        <w:tc>
          <w:tcPr>
            <w:tcW w:w="1444" w:type="dxa"/>
            <w:noWrap/>
            <w:vAlign w:val="center"/>
            <w:hideMark/>
          </w:tcPr>
          <w:p w14:paraId="48F54243" w14:textId="7BEAAC1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Jian, 2006 </w:t>
            </w:r>
            <w:r w:rsidR="00D8711D" w:rsidRPr="009B66A4">
              <w:rPr>
                <w:rFonts w:ascii="Calibri" w:eastAsia="Times New Roman" w:hAnsi="Calibri" w:cs="Calibri"/>
                <w:kern w:val="0"/>
                <w:sz w:val="20"/>
                <w:szCs w:val="20"/>
                <w14:ligatures w14:val="none"/>
              </w:rPr>
              <w:fldChar w:fldCharType="begin"/>
            </w:r>
            <w:r w:rsidR="0012784A" w:rsidRPr="009B66A4">
              <w:rPr>
                <w:rFonts w:ascii="Calibri" w:eastAsia="Times New Roman" w:hAnsi="Calibri" w:cs="Calibri"/>
                <w:kern w:val="0"/>
                <w:sz w:val="20"/>
                <w:szCs w:val="20"/>
                <w14:ligatures w14:val="none"/>
              </w:rPr>
              <w:instrText xml:space="preserve"> ADDIN ZOTERO_ITEM CSL_CITATION {"citationID":"mZrprkMu","properties":{"formattedCitation":"[137]","plainCitation":"[137]","noteIndex":0},"citationItems":[{"id":3503,"uris":["http://zotero.org/users/11896629/items/TKX6LTNZ"],"itemData":{"id":3503,"type":"article-journal","container-title":"The Journal of Pediatrics","DOI":"10.1016/j.jpeds.2006.06.015","ISSN":"00223476","issue":"4","journalAbbreviation":"The Journal of Pediatrics","language":"en","license":"https://www.elsevier.com/tdm/userlicense/1.0/","page":"542-547.e3","source":"DOI.org (Crossref)","title":"Predictors of seizure onset in Rett syndrome","volume":"149","author":[{"family":"Jian","given":"Le"},{"family":"Nagarajan","given":"Lakshmi"},{"family":"De Klerk","given":"Nicholas"},{"family":"Ravine","given":"David"},{"family":"Bower","given":"Carol"},{"family":"Anderson","given":"Alison"},{"family":"Williamson","given":"Sarah"},{"family":"Christodoulou","given":"John"},{"family":"Leonard","given":"Helen"}],"issued":{"date-parts":[["2006",10]]}}}],"schema":"https://github.com/citation-style-language/schema/raw/master/csl-citation.json"} </w:instrText>
            </w:r>
            <w:r w:rsidR="00D8711D" w:rsidRPr="009B66A4">
              <w:rPr>
                <w:rFonts w:ascii="Calibri" w:eastAsia="Times New Roman" w:hAnsi="Calibri" w:cs="Calibri"/>
                <w:kern w:val="0"/>
                <w:sz w:val="20"/>
                <w:szCs w:val="20"/>
                <w14:ligatures w14:val="none"/>
              </w:rPr>
              <w:fldChar w:fldCharType="separate"/>
            </w:r>
            <w:r w:rsidR="0012784A" w:rsidRPr="009B66A4">
              <w:rPr>
                <w:rFonts w:ascii="Calibri" w:hAnsi="Calibri" w:cs="Calibri"/>
                <w:sz w:val="20"/>
                <w:szCs w:val="20"/>
              </w:rPr>
              <w:t>[137]</w:t>
            </w:r>
            <w:r w:rsidR="00D8711D"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3FBD3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Australia</w:t>
            </w:r>
          </w:p>
        </w:tc>
        <w:tc>
          <w:tcPr>
            <w:tcW w:w="1316" w:type="dxa"/>
            <w:noWrap/>
            <w:vAlign w:val="center"/>
            <w:hideMark/>
          </w:tcPr>
          <w:p w14:paraId="6EE68F2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hideMark/>
          </w:tcPr>
          <w:p w14:paraId="1E0DFAD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95D151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2FF37C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40A882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275</w:t>
            </w:r>
          </w:p>
        </w:tc>
        <w:tc>
          <w:tcPr>
            <w:tcW w:w="1682" w:type="dxa"/>
            <w:vAlign w:val="center"/>
            <w:hideMark/>
          </w:tcPr>
          <w:p w14:paraId="1316445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Range: 2.3 – 29.5 years</w:t>
            </w:r>
          </w:p>
        </w:tc>
        <w:tc>
          <w:tcPr>
            <w:tcW w:w="1394" w:type="dxa"/>
            <w:noWrap/>
            <w:vAlign w:val="center"/>
            <w:hideMark/>
          </w:tcPr>
          <w:p w14:paraId="5848A7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64826A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Align w:val="center"/>
            <w:hideMark/>
          </w:tcPr>
          <w:p w14:paraId="490050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181 (65.8%)</w:t>
            </w:r>
          </w:p>
        </w:tc>
        <w:tc>
          <w:tcPr>
            <w:tcW w:w="1438" w:type="dxa"/>
            <w:vAlign w:val="center"/>
            <w:hideMark/>
          </w:tcPr>
          <w:p w14:paraId="2C11ABE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C4F2C5A" w14:textId="77777777" w:rsidTr="00A3759F">
        <w:trPr>
          <w:trHeight w:val="20"/>
        </w:trPr>
        <w:tc>
          <w:tcPr>
            <w:tcW w:w="1444" w:type="dxa"/>
            <w:noWrap/>
            <w:vAlign w:val="center"/>
            <w:hideMark/>
          </w:tcPr>
          <w:p w14:paraId="2C39B39A" w14:textId="671193F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Lavas, 2006</w:t>
            </w:r>
            <w:r w:rsidR="0012784A" w:rsidRPr="009B66A4">
              <w:rPr>
                <w:rFonts w:ascii="Calibri" w:eastAsia="Times New Roman" w:hAnsi="Calibri" w:cs="Calibri"/>
                <w:kern w:val="0"/>
                <w:sz w:val="20"/>
                <w:szCs w:val="20"/>
                <w14:ligatures w14:val="none"/>
              </w:rPr>
              <w:fldChar w:fldCharType="begin"/>
            </w:r>
            <w:r w:rsidR="00C63E62" w:rsidRPr="009B66A4">
              <w:rPr>
                <w:rFonts w:ascii="Calibri" w:eastAsia="Times New Roman" w:hAnsi="Calibri" w:cs="Calibri"/>
                <w:kern w:val="0"/>
                <w:sz w:val="20"/>
                <w:szCs w:val="20"/>
                <w14:ligatures w14:val="none"/>
              </w:rPr>
              <w:instrText xml:space="preserve"> ADDIN ZOTERO_ITEM CSL_CITATION {"citationID":"pDqOiLIq","properties":{"formattedCitation":"[138]","plainCitation":"[138]","noteIndex":0},"citationItems":[{"id":3504,"uris":["http://zotero.org/users/11896629/items/EUSR7PFP"],"itemData":{"id":3504,"type":"article-journal","container-title":"Disability and Rehabilitation","DOI":"10.1080/09638280600554868","ISSN":"0963-8288, 1464-5165","issue":"20","journalAbbreviation":"Disability and Rehabilitation","language":"en","page":"1267-1279","source":"DOI.org (Crossref)","title":"Communication and eating proficiency in 125 females with Rett syndrome: The Swedish Rett center survey","title-short":"Communication and eating proficiency in 125 females with Rett syndrome","volume":"28","author":[{"family":"Lavås","given":"Jennie"},{"family":"Slotte","given":"Annika"},{"family":"Jochym-Nygren","given":"Magdalena"},{"family":"Van Doorn","given":"Jan"},{"family":"Engerström","given":"Ingegerd Witt"}],"issued":{"date-parts":[["2006",1,1]]}}}],"schema":"https://github.com/citation-style-language/schema/raw/master/csl-citation.json"} </w:instrText>
            </w:r>
            <w:r w:rsidR="0012784A" w:rsidRPr="009B66A4">
              <w:rPr>
                <w:rFonts w:ascii="Calibri" w:eastAsia="Times New Roman" w:hAnsi="Calibri" w:cs="Calibri"/>
                <w:kern w:val="0"/>
                <w:sz w:val="20"/>
                <w:szCs w:val="20"/>
                <w14:ligatures w14:val="none"/>
              </w:rPr>
              <w:fldChar w:fldCharType="separate"/>
            </w:r>
            <w:r w:rsidR="00C63E62" w:rsidRPr="009B66A4">
              <w:rPr>
                <w:rFonts w:ascii="Calibri" w:hAnsi="Calibri" w:cs="Calibri"/>
                <w:sz w:val="20"/>
                <w:szCs w:val="20"/>
              </w:rPr>
              <w:t>[138]</w:t>
            </w:r>
            <w:r w:rsidR="0012784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3CABE3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Sweden</w:t>
            </w:r>
          </w:p>
        </w:tc>
        <w:tc>
          <w:tcPr>
            <w:tcW w:w="1316" w:type="dxa"/>
            <w:noWrap/>
            <w:vAlign w:val="center"/>
            <w:hideMark/>
          </w:tcPr>
          <w:p w14:paraId="293CD2D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hideMark/>
          </w:tcPr>
          <w:p w14:paraId="1D70C32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9FC0C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257000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1394" w:type="dxa"/>
            <w:noWrap/>
            <w:vAlign w:val="center"/>
            <w:hideMark/>
          </w:tcPr>
          <w:p w14:paraId="54DC49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w:t>
            </w:r>
          </w:p>
        </w:tc>
        <w:tc>
          <w:tcPr>
            <w:tcW w:w="1682" w:type="dxa"/>
            <w:vAlign w:val="center"/>
            <w:hideMark/>
          </w:tcPr>
          <w:p w14:paraId="220B5B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Mean 19.6</w:t>
            </w:r>
          </w:p>
        </w:tc>
        <w:tc>
          <w:tcPr>
            <w:tcW w:w="1394" w:type="dxa"/>
            <w:vAlign w:val="center"/>
            <w:hideMark/>
          </w:tcPr>
          <w:p w14:paraId="28D0E5D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710D27F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125 (100%)</w:t>
            </w:r>
          </w:p>
        </w:tc>
        <w:tc>
          <w:tcPr>
            <w:tcW w:w="1394" w:type="dxa"/>
            <w:vAlign w:val="center"/>
            <w:hideMark/>
          </w:tcPr>
          <w:p w14:paraId="20C2180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512179E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7978AB28" w14:textId="77777777" w:rsidTr="00A3759F">
        <w:trPr>
          <w:trHeight w:val="20"/>
        </w:trPr>
        <w:tc>
          <w:tcPr>
            <w:tcW w:w="1444" w:type="dxa"/>
            <w:noWrap/>
            <w:vAlign w:val="center"/>
            <w:hideMark/>
          </w:tcPr>
          <w:p w14:paraId="54653576" w14:textId="76E9299D"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Tofil, 2006</w:t>
            </w:r>
            <w:r w:rsidR="00AB3F7E" w:rsidRPr="009B66A4">
              <w:rPr>
                <w:rFonts w:ascii="Calibri" w:eastAsia="Times New Roman" w:hAnsi="Calibri" w:cs="Calibri"/>
                <w:kern w:val="0"/>
                <w:sz w:val="20"/>
                <w:szCs w:val="20"/>
                <w14:ligatures w14:val="none"/>
              </w:rPr>
              <w:fldChar w:fldCharType="begin"/>
            </w:r>
            <w:r w:rsidR="00AB3F7E" w:rsidRPr="009B66A4">
              <w:rPr>
                <w:rFonts w:ascii="Calibri" w:eastAsia="Times New Roman" w:hAnsi="Calibri" w:cs="Calibri"/>
                <w:kern w:val="0"/>
                <w:sz w:val="20"/>
                <w:szCs w:val="20"/>
                <w14:ligatures w14:val="none"/>
              </w:rPr>
              <w:instrText xml:space="preserve"> ADDIN ZOTERO_ITEM CSL_CITATION {"citationID":"ZIXqFPmT","properties":{"formattedCitation":"[139]","plainCitation":"[139]","noteIndex":0},"citationItems":[{"id":3505,"uris":["http://zotero.org/users/11896629/items/4PKVAAMR"],"itemData":{"id":3505,"type":"article-journal","abstract":"Herein we present the largest retrospective case-control series of deep sedation in patients with Rett syndrome, including discussion of the unique aspects of Rett syndrome that make these patients at high risk for sedation. Twenty-one patients with Rett syndrome and 21 control patients who received propofol for deep sedation to facilitate lumbar puncture were compared. Patients with Rett syndrome required significantly less propofol than control patients when standardized for weight and the duration of the procedure (P = .004). Seven of the 21 patients with Rett syndrome compared with none of the control patients experienced a serious adverse event, most of which were due to prolonged apnea (P = .004). All adverse events were transient, and all patients returned to their baseline after the procedure was completed. Sedation of patients with Rett syndrome is associated with a relatively high rate of complications and should not be done without appropriate personnel available who recognize the risks of sedating this unique population. (J Child Neurol 2006;21:857—860; DOI 10.2310/7010.2006.00051).","container-title":"Journal of Child Neurology","DOI":"10.1177/08830738060210100101","ISSN":"0883-0738, 1708-8283","issue":"10","journalAbbreviation":"J Child Neurol","language":"en","license":"https://journals.sagepub.com/page/policies/text-and-data-mining-license","page":"857-860","source":"DOI.org (Crossref)","title":"Deep Sedation With Propofol in Patients With Rett Syndrome","volume":"21","author":[{"family":"Tofil","given":"Nancy M."},{"family":"Buckmaster","given":"Mark A."},{"family":"Winkler","given":"Margaret K."},{"family":"Callans","given":"Beth H."},{"family":"Islam","given":"Monica P."},{"family":"Percy","given":"Alan K."}],"issued":{"date-parts":[["2006",10]]}}}],"schema":"https://github.com/citation-style-language/schema/raw/master/csl-citation.json"} </w:instrText>
            </w:r>
            <w:r w:rsidR="00AB3F7E" w:rsidRPr="009B66A4">
              <w:rPr>
                <w:rFonts w:ascii="Calibri" w:eastAsia="Times New Roman" w:hAnsi="Calibri" w:cs="Calibri"/>
                <w:kern w:val="0"/>
                <w:sz w:val="20"/>
                <w:szCs w:val="20"/>
                <w14:ligatures w14:val="none"/>
              </w:rPr>
              <w:fldChar w:fldCharType="separate"/>
            </w:r>
            <w:r w:rsidR="00AB3F7E" w:rsidRPr="009B66A4">
              <w:rPr>
                <w:rFonts w:ascii="Calibri" w:hAnsi="Calibri" w:cs="Calibri"/>
                <w:sz w:val="20"/>
                <w:szCs w:val="20"/>
              </w:rPr>
              <w:t>[139]</w:t>
            </w:r>
            <w:r w:rsidR="00AB3F7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9C0D59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05D001D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noWrap/>
            <w:hideMark/>
          </w:tcPr>
          <w:p w14:paraId="17E4519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D1B646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EE692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E812BB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w:t>
            </w:r>
          </w:p>
        </w:tc>
        <w:tc>
          <w:tcPr>
            <w:tcW w:w="1682" w:type="dxa"/>
            <w:noWrap/>
            <w:vAlign w:val="center"/>
            <w:hideMark/>
          </w:tcPr>
          <w:p w14:paraId="7C76237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5B3BFB0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71A113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2E12298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21 (100%)</w:t>
            </w:r>
          </w:p>
        </w:tc>
        <w:tc>
          <w:tcPr>
            <w:tcW w:w="1438" w:type="dxa"/>
            <w:vAlign w:val="center"/>
            <w:hideMark/>
          </w:tcPr>
          <w:p w14:paraId="09CF86F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5E83401" w14:textId="77777777" w:rsidTr="00A3759F">
        <w:trPr>
          <w:trHeight w:val="20"/>
        </w:trPr>
        <w:tc>
          <w:tcPr>
            <w:tcW w:w="1444" w:type="dxa"/>
            <w:noWrap/>
            <w:vAlign w:val="center"/>
            <w:hideMark/>
          </w:tcPr>
          <w:p w14:paraId="254B150B" w14:textId="0950819F"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Kerr, 2006</w:t>
            </w:r>
            <w:r w:rsidR="00AB3F7E" w:rsidRPr="009B66A4">
              <w:rPr>
                <w:rFonts w:ascii="Calibri" w:eastAsia="Times New Roman" w:hAnsi="Calibri" w:cs="Calibri"/>
                <w:kern w:val="0"/>
                <w:sz w:val="20"/>
                <w:szCs w:val="20"/>
                <w14:ligatures w14:val="none"/>
              </w:rPr>
              <w:fldChar w:fldCharType="begin"/>
            </w:r>
            <w:r w:rsidR="00027C67" w:rsidRPr="009B66A4">
              <w:rPr>
                <w:rFonts w:ascii="Calibri" w:eastAsia="Times New Roman" w:hAnsi="Calibri" w:cs="Calibri"/>
                <w:kern w:val="0"/>
                <w:sz w:val="20"/>
                <w:szCs w:val="20"/>
                <w14:ligatures w14:val="none"/>
              </w:rPr>
              <w:instrText xml:space="preserve"> ADDIN ZOTERO_ITEM CSL_CITATION {"citationID":"Kir0UKO6","properties":{"formattedCitation":"[140]","plainCitation":"[140]","noteIndex":0},"citationItems":[{"id":3506,"uris":["http://zotero.org/users/11896629/items/N6SW72FZ"],"itemData":{"id":3506,"type":"article-journal","abstract":"Abstract\n            \n              Background \n              People with useful speech after regression constitute a distinct group of those with mutation‐positive Rett disorder, 6% (20/331) reported among mutation‐positive people in the British Survey. We aimed to determine the physical, mental and genetic characteristics of this group and to gain insight into their experience of Rett syndrome.\n            \n            \n              Methods \n              Clinical and molecular data for people with Rett, aged 10 or more years at follow‐up (the study group,\n              n\n               = 13), with the ability to converse and a\n              MECP2\n              mutation are presented. They were compared with an age‐matched control group (\n              n\n               = 110), who could not converse and had a pathogenic\n              MECP2\n              mutation.\n            \n            \n              Results \n              The study group differed significantly from the control group with regard to their disease severity (\n              P \n              &lt; 0.001); feeding difficulty scores (\n              P \n              &lt; 0.001); health scores (\n              P \n              &lt; 0.001); epilepsy (\n              P \n              &lt; 0.001); head circumference (\n              P \n              &lt; 0.004); age at onset of the regression period (\n              P \n              &lt; 0.001) (six in the study group did not regress) and mutation frequency (C‐terminal deletions\n              P\n               = 0.014, R133C\n              P\n               &lt; 0.006). The results indicate that favourable skewing of X‐inactivation is only present in a small proportion of mild cases. Speech was fragmented with a soft, breathless quality, and all but two had obviously irregular breathing. One person with an R168X mutation preferred signing to speech. All enjoyed interpersonal contact, showing affection and preferring people to objects, clearly distinguishing the condition from autism. Most were habitually anxious. Music was a source of pleasure and relaxation also providing a valuable educational asset. Even in these most able cases, understanding was severely restricted in most and little initiative was shown.\n            \n            \n              Conclusions \n              While the Rett profile is present in these people they are commonly not classic, and the presence of speech, good head growth and lack of regression may lead to missed diagnoses. A strong association was demonstrated between this milder form of the disease and R133C and C‐terminal deletions.","container-title":"Journal of Intellectual Disability Research","DOI":"10.1111/j.1365-2788.2005.00786.x","ISSN":"0964-2633, 1365-2788","issue":"5","journalAbbreviation":"J intellect Disabil Res","language":"en","page":"386-394","source":"DOI.org (Crossref)","title":"People with &lt;i&gt;MECP2&lt;/i&gt; mutation‐positive Rett disorder who converse","volume":"50","author":[{"family":"Kerr","given":"A. M."},{"family":"Archer","given":"H. L."},{"family":"Evans","given":"J. C."},{"family":"Prescott","given":"R. J."},{"family":"Gibbon","given":"F."}],"issued":{"date-parts":[["2006",5]]}}}],"schema":"https://github.com/citation-style-language/schema/raw/master/csl-citation.json"} </w:instrText>
            </w:r>
            <w:r w:rsidR="00AB3F7E" w:rsidRPr="009B66A4">
              <w:rPr>
                <w:rFonts w:ascii="Calibri" w:eastAsia="Times New Roman" w:hAnsi="Calibri" w:cs="Calibri"/>
                <w:kern w:val="0"/>
                <w:sz w:val="20"/>
                <w:szCs w:val="20"/>
                <w14:ligatures w14:val="none"/>
              </w:rPr>
              <w:fldChar w:fldCharType="separate"/>
            </w:r>
            <w:r w:rsidR="00027C67" w:rsidRPr="009B66A4">
              <w:rPr>
                <w:rFonts w:ascii="Calibri" w:hAnsi="Calibri" w:cs="Calibri"/>
                <w:sz w:val="20"/>
                <w:szCs w:val="20"/>
              </w:rPr>
              <w:t>[140]</w:t>
            </w:r>
            <w:r w:rsidR="00AB3F7E"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4C73160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noWrap/>
            <w:vAlign w:val="center"/>
            <w:hideMark/>
          </w:tcPr>
          <w:p w14:paraId="762196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noWrap/>
            <w:vAlign w:val="center"/>
            <w:hideMark/>
          </w:tcPr>
          <w:p w14:paraId="0185C2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0388F2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7D1F22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C4355F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w:t>
            </w:r>
          </w:p>
        </w:tc>
        <w:tc>
          <w:tcPr>
            <w:tcW w:w="1682" w:type="dxa"/>
            <w:noWrap/>
            <w:vAlign w:val="center"/>
            <w:hideMark/>
          </w:tcPr>
          <w:p w14:paraId="0E46654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22.4 (8.6)</w:t>
            </w:r>
          </w:p>
        </w:tc>
        <w:tc>
          <w:tcPr>
            <w:tcW w:w="1394" w:type="dxa"/>
            <w:noWrap/>
            <w:vAlign w:val="center"/>
            <w:hideMark/>
          </w:tcPr>
          <w:p w14:paraId="3DA878F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03354E3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 (100%)</w:t>
            </w:r>
          </w:p>
        </w:tc>
        <w:tc>
          <w:tcPr>
            <w:tcW w:w="1394" w:type="dxa"/>
            <w:noWrap/>
            <w:vAlign w:val="center"/>
            <w:hideMark/>
          </w:tcPr>
          <w:p w14:paraId="2F0717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13 (100%)</w:t>
            </w:r>
          </w:p>
        </w:tc>
        <w:tc>
          <w:tcPr>
            <w:tcW w:w="1438" w:type="dxa"/>
            <w:vAlign w:val="center"/>
            <w:hideMark/>
          </w:tcPr>
          <w:p w14:paraId="3E217DE9" w14:textId="64FFA50A"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xml:space="preserve">Kerr score, </w:t>
            </w:r>
            <w:r w:rsidR="00A3759F" w:rsidRPr="009B66A4">
              <w:rPr>
                <w:rFonts w:ascii="Calibri" w:eastAsia="Times New Roman" w:hAnsi="Calibri" w:cs="Calibri"/>
                <w:kern w:val="0"/>
                <w:sz w:val="20"/>
                <w:szCs w:val="20"/>
                <w14:ligatures w14:val="none"/>
              </w:rPr>
              <w:t>mean (</w:t>
            </w:r>
            <w:r w:rsidRPr="009B66A4">
              <w:rPr>
                <w:rFonts w:ascii="Calibri" w:eastAsia="Times New Roman" w:hAnsi="Calibri" w:cs="Calibri"/>
                <w:kern w:val="0"/>
                <w:sz w:val="20"/>
                <w:szCs w:val="20"/>
                <w14:ligatures w14:val="none"/>
              </w:rPr>
              <w:t>SD): 2.2 (1.9)</w:t>
            </w:r>
          </w:p>
        </w:tc>
      </w:tr>
      <w:tr w:rsidR="00713B5E" w:rsidRPr="009B66A4" w14:paraId="386FAC56" w14:textId="77777777" w:rsidTr="00A3759F">
        <w:trPr>
          <w:trHeight w:val="20"/>
        </w:trPr>
        <w:tc>
          <w:tcPr>
            <w:tcW w:w="1444" w:type="dxa"/>
            <w:noWrap/>
            <w:vAlign w:val="center"/>
            <w:hideMark/>
          </w:tcPr>
          <w:p w14:paraId="581FD477" w14:textId="3055D39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Ormazabal, 2005</w:t>
            </w:r>
            <w:r w:rsidR="00027C67" w:rsidRPr="009B66A4">
              <w:rPr>
                <w:rFonts w:ascii="Calibri" w:eastAsia="Times New Roman" w:hAnsi="Calibri" w:cs="Calibri"/>
                <w:kern w:val="0"/>
                <w:sz w:val="20"/>
                <w:szCs w:val="20"/>
                <w14:ligatures w14:val="none"/>
              </w:rPr>
              <w:fldChar w:fldCharType="begin"/>
            </w:r>
            <w:r w:rsidR="009D5B48" w:rsidRPr="009B66A4">
              <w:rPr>
                <w:rFonts w:ascii="Calibri" w:eastAsia="Times New Roman" w:hAnsi="Calibri" w:cs="Calibri"/>
                <w:kern w:val="0"/>
                <w:sz w:val="20"/>
                <w:szCs w:val="20"/>
                <w14:ligatures w14:val="none"/>
              </w:rPr>
              <w:instrText xml:space="preserve"> ADDIN ZOTERO_ITEM CSL_CITATION {"citationID":"Ypx7677U","properties":{"formattedCitation":"[141]","plainCitation":"[141]","noteIndex":0},"citationItems":[{"id":3507,"uris":["http://zotero.org/users/11896629/items/T2G8THKC"],"itemData":{"id":3507,"type":"article-journal","container-title":"Neuropediatrics","DOI":"10.1055/s-2005-873078","ISSN":"0174-304X, 1439-1899","issue":"6","journalAbbreviation":"Neuropediatrics","language":"de","page":"380-385","source":"DOI.org (Crossref)","title":"Cerebrospinal Fluid Concentrations of Folate, Biogenic Amines and Pterins in Rett Syndrome: Treatment with Folinic Acid","title-short":"Cerebrospinal Fluid Concentrations of Folate, Biogenic Amines and Pterins in Rett Syndrome","volume":"36","author":[{"family":"Ormazabal","given":"A."},{"family":"Artuch","given":"R."},{"family":"Vilaseca","given":"M. A."},{"family":"Aracil","given":"A."},{"family":"Pineda","given":"M."}],"issued":{"date-parts":[["2005",12]]}}}],"schema":"https://github.com/citation-style-language/schema/raw/master/csl-citation.json"} </w:instrText>
            </w:r>
            <w:r w:rsidR="00027C67" w:rsidRPr="009B66A4">
              <w:rPr>
                <w:rFonts w:ascii="Calibri" w:eastAsia="Times New Roman" w:hAnsi="Calibri" w:cs="Calibri"/>
                <w:kern w:val="0"/>
                <w:sz w:val="20"/>
                <w:szCs w:val="20"/>
                <w14:ligatures w14:val="none"/>
              </w:rPr>
              <w:fldChar w:fldCharType="separate"/>
            </w:r>
            <w:r w:rsidR="009D5B48" w:rsidRPr="009B66A4">
              <w:rPr>
                <w:rFonts w:ascii="Calibri" w:hAnsi="Calibri" w:cs="Calibri"/>
                <w:sz w:val="20"/>
                <w:szCs w:val="20"/>
              </w:rPr>
              <w:t>[141]</w:t>
            </w:r>
            <w:r w:rsidR="00027C67"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826CB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Spain</w:t>
            </w:r>
          </w:p>
        </w:tc>
        <w:tc>
          <w:tcPr>
            <w:tcW w:w="1316" w:type="dxa"/>
            <w:noWrap/>
            <w:vAlign w:val="center"/>
            <w:hideMark/>
          </w:tcPr>
          <w:p w14:paraId="636240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4B57860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7BDDD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9ED86C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3858F0E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w:t>
            </w:r>
          </w:p>
        </w:tc>
        <w:tc>
          <w:tcPr>
            <w:tcW w:w="1682" w:type="dxa"/>
            <w:noWrap/>
            <w:vAlign w:val="center"/>
            <w:hideMark/>
          </w:tcPr>
          <w:p w14:paraId="471E17D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884A79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41DE63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16 (100)</w:t>
            </w:r>
          </w:p>
        </w:tc>
        <w:tc>
          <w:tcPr>
            <w:tcW w:w="1394" w:type="dxa"/>
            <w:vAlign w:val="center"/>
            <w:hideMark/>
          </w:tcPr>
          <w:p w14:paraId="4A163CE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 (50%)</w:t>
            </w:r>
          </w:p>
        </w:tc>
        <w:tc>
          <w:tcPr>
            <w:tcW w:w="1438" w:type="dxa"/>
            <w:vAlign w:val="center"/>
            <w:hideMark/>
          </w:tcPr>
          <w:p w14:paraId="522A363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5E164FA9" w14:textId="77777777" w:rsidTr="00A3759F">
        <w:trPr>
          <w:trHeight w:val="20"/>
        </w:trPr>
        <w:tc>
          <w:tcPr>
            <w:tcW w:w="1444" w:type="dxa"/>
            <w:vMerge w:val="restart"/>
            <w:noWrap/>
            <w:vAlign w:val="center"/>
            <w:hideMark/>
          </w:tcPr>
          <w:p w14:paraId="2F33217B" w14:textId="4CB50729"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Guideri, 2004</w:t>
            </w:r>
            <w:r w:rsidR="009D5B48" w:rsidRPr="009B66A4">
              <w:rPr>
                <w:rFonts w:ascii="Calibri" w:eastAsia="Times New Roman" w:hAnsi="Calibri" w:cs="Calibri"/>
                <w:kern w:val="0"/>
                <w:sz w:val="20"/>
                <w:szCs w:val="20"/>
                <w14:ligatures w14:val="none"/>
              </w:rPr>
              <w:fldChar w:fldCharType="begin"/>
            </w:r>
            <w:r w:rsidR="00870814" w:rsidRPr="009B66A4">
              <w:rPr>
                <w:rFonts w:ascii="Calibri" w:eastAsia="Times New Roman" w:hAnsi="Calibri" w:cs="Calibri"/>
                <w:kern w:val="0"/>
                <w:sz w:val="20"/>
                <w:szCs w:val="20"/>
                <w14:ligatures w14:val="none"/>
              </w:rPr>
              <w:instrText xml:space="preserve"> ADDIN ZOTERO_ITEM CSL_CITATION {"citationID":"aB8EiUmH","properties":{"formattedCitation":"[142]","plainCitation":"[142]","noteIndex":0},"citationItems":[{"id":3508,"uris":["http://zotero.org/users/11896629/items/G8AAKX2L"],"itemData":{"id":3508,"type":"article-journal","container-title":"Pediatric Cardiology","DOI":"10.1007/s00246-002-0406-y","ISSN":"0172-0643, 1432-1971","issue":"4","journalAbbreviation":"Pediatr Cardiol","language":"en","license":"http://www.springer.com/tdm","source":"DOI.org (Crossref)","title":"Nerve Growth Factor Plasma Levels and Ventricular Repolarization in Rett Syndrome","URL":"http://link.springer.com/10.1007/s00246-002-0406-y","volume":"25","author":[{"family":"Guideri","given":"F."},{"family":"Acampa","given":"M."},{"family":"Calamandrei","given":"G."},{"family":"Aloe","given":"L."},{"family":"Zappella","given":"M."},{"family":"Hayek","given":"Y."}],"accessed":{"date-parts":[["2026",2,16]]},"issued":{"date-parts":[["2004",7]]}}}],"schema":"https://github.com/citation-style-language/schema/raw/master/csl-citation.json"} </w:instrText>
            </w:r>
            <w:r w:rsidR="009D5B48" w:rsidRPr="009B66A4">
              <w:rPr>
                <w:rFonts w:ascii="Calibri" w:eastAsia="Times New Roman" w:hAnsi="Calibri" w:cs="Calibri"/>
                <w:kern w:val="0"/>
                <w:sz w:val="20"/>
                <w:szCs w:val="20"/>
                <w14:ligatures w14:val="none"/>
              </w:rPr>
              <w:fldChar w:fldCharType="separate"/>
            </w:r>
            <w:r w:rsidR="00870814" w:rsidRPr="009B66A4">
              <w:rPr>
                <w:rFonts w:ascii="Calibri" w:hAnsi="Calibri" w:cs="Calibri"/>
                <w:sz w:val="20"/>
                <w:szCs w:val="20"/>
              </w:rPr>
              <w:t>[142]</w:t>
            </w:r>
            <w:r w:rsidR="009D5B48"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5798350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Italy</w:t>
            </w:r>
          </w:p>
        </w:tc>
        <w:tc>
          <w:tcPr>
            <w:tcW w:w="1316" w:type="dxa"/>
            <w:vMerge w:val="restart"/>
            <w:noWrap/>
            <w:vAlign w:val="center"/>
            <w:hideMark/>
          </w:tcPr>
          <w:p w14:paraId="053793C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vMerge w:val="restart"/>
            <w:noWrap/>
            <w:vAlign w:val="center"/>
            <w:hideMark/>
          </w:tcPr>
          <w:p w14:paraId="402E112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Merge w:val="restart"/>
            <w:vAlign w:val="center"/>
            <w:hideMark/>
          </w:tcPr>
          <w:p w14:paraId="42545A9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3924E5E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57953AA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Rett syndrome patients with prolonged corrected QT (QTc) interval: n=23</w:t>
            </w:r>
          </w:p>
        </w:tc>
        <w:tc>
          <w:tcPr>
            <w:tcW w:w="1682" w:type="dxa"/>
            <w:vMerge w:val="restart"/>
            <w:noWrap/>
            <w:vAlign w:val="center"/>
            <w:hideMark/>
          </w:tcPr>
          <w:p w14:paraId="12F7905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9.9 (4.7)</w:t>
            </w:r>
          </w:p>
        </w:tc>
        <w:tc>
          <w:tcPr>
            <w:tcW w:w="1394" w:type="dxa"/>
            <w:vMerge w:val="restart"/>
            <w:noWrap/>
            <w:vAlign w:val="center"/>
            <w:hideMark/>
          </w:tcPr>
          <w:p w14:paraId="3E69A0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noWrap/>
            <w:vAlign w:val="center"/>
            <w:hideMark/>
          </w:tcPr>
          <w:p w14:paraId="7538122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 (100%)</w:t>
            </w:r>
          </w:p>
        </w:tc>
        <w:tc>
          <w:tcPr>
            <w:tcW w:w="1394" w:type="dxa"/>
            <w:vMerge w:val="restart"/>
            <w:noWrap/>
            <w:vAlign w:val="center"/>
            <w:hideMark/>
          </w:tcPr>
          <w:p w14:paraId="031E1E8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34 (100%)</w:t>
            </w:r>
          </w:p>
        </w:tc>
        <w:tc>
          <w:tcPr>
            <w:tcW w:w="1438" w:type="dxa"/>
            <w:vMerge w:val="restart"/>
            <w:noWrap/>
            <w:vAlign w:val="center"/>
            <w:hideMark/>
          </w:tcPr>
          <w:p w14:paraId="3585839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1B9DA5F7" w14:textId="77777777" w:rsidTr="00A3759F">
        <w:trPr>
          <w:trHeight w:val="20"/>
        </w:trPr>
        <w:tc>
          <w:tcPr>
            <w:tcW w:w="1444" w:type="dxa"/>
            <w:vMerge/>
            <w:vAlign w:val="center"/>
            <w:hideMark/>
          </w:tcPr>
          <w:p w14:paraId="18FAF76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EF1678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3E1CB83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ED34B9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3B07387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1F0D329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Align w:val="center"/>
            <w:hideMark/>
          </w:tcPr>
          <w:p w14:paraId="5859FDF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Rett syndrome patients with normal QTc: n=11</w:t>
            </w:r>
          </w:p>
        </w:tc>
        <w:tc>
          <w:tcPr>
            <w:tcW w:w="1682" w:type="dxa"/>
            <w:vMerge/>
            <w:vAlign w:val="center"/>
            <w:hideMark/>
          </w:tcPr>
          <w:p w14:paraId="0F71521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966EFE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D0E6FE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DE8860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1C69A2F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2812E379" w14:textId="77777777" w:rsidTr="00A3759F">
        <w:trPr>
          <w:trHeight w:val="20"/>
        </w:trPr>
        <w:tc>
          <w:tcPr>
            <w:tcW w:w="1444" w:type="dxa"/>
            <w:noWrap/>
            <w:vAlign w:val="center"/>
            <w:hideMark/>
          </w:tcPr>
          <w:p w14:paraId="09F4AC1B" w14:textId="66D0F9F0"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Pozzi, 2003</w:t>
            </w:r>
            <w:r w:rsidR="00870814" w:rsidRPr="009B66A4">
              <w:rPr>
                <w:rFonts w:ascii="Calibri" w:eastAsia="Times New Roman" w:hAnsi="Calibri" w:cs="Calibri"/>
                <w:kern w:val="0"/>
                <w:sz w:val="20"/>
                <w:szCs w:val="20"/>
                <w14:ligatures w14:val="none"/>
              </w:rPr>
              <w:fldChar w:fldCharType="begin"/>
            </w:r>
            <w:r w:rsidR="00D67703" w:rsidRPr="009B66A4">
              <w:rPr>
                <w:rFonts w:ascii="Calibri" w:eastAsia="Times New Roman" w:hAnsi="Calibri" w:cs="Calibri"/>
                <w:kern w:val="0"/>
                <w:sz w:val="20"/>
                <w:szCs w:val="20"/>
                <w14:ligatures w14:val="none"/>
              </w:rPr>
              <w:instrText xml:space="preserve"> ADDIN ZOTERO_ITEM CSL_CITATION {"citationID":"vvql7QxJ","properties":{"formattedCitation":"[143]","plainCitation":"[143]","noteIndex":0},"citationItems":[{"id":3509,"uris":["http://zotero.org/users/11896629/items/ZDU36672"],"itemData":{"id":3509,"type":"article-journal","abstract":"Rett syndrome (RS) is a neurodevelopmental disorder, preferentially found in females and specifically involving the functions on which intelligence and its expression depend - learning, hand use and speech - leaving many others intact. Mutations have been identified at Xq28 on the MECP2 gene (methyl-CpG 2), which selectively silences the expression of other genes whose location is still unknown. This is a study on clinical, diagnostic and epidemiological aspects of RS in a Brazilian sample. It included 33 female patients with chronic encephalopathy without known etiology. RS was diagnosed in 24 patients (72.7%): 17 (70.8%) had classical RS; 5 (20.8%), atypical RS and 2 (8.4%), potential RS. In 9 girls clinical data and/or laboratory studies excluded diagnosis of RS. Among the atypical RS patients, 4 were form fruste and one, congenital form. Among the girls with other encephalopathies, cerebral malformation was the most frequent finding.\n          , \n            Síndrome de Rett (SR) é desordem do neurodesenvolvimento que afeta preferencialmente meninas e envolve especificamente funções cognitivas - aprendizado, habilidade manual e linguagem - deixando outras intactas. Foram identificadas mutações no gene MECP2 (Metil-CpG 2) localizado no Xq28, que silencia seletivamente a expressão de outros genes que aguardam identificação. Este estudo baseia-se em aspectos clínico-diagnósticos e epidemiológicos da SR numa casuística brasileira. Foram estudadas 33 crianças do sexo feminino portadoras de encefalopatia crônica sem evidência de etiologia para o quadro. Em 24 pacientes (72,7%) fez-se o diagnóstico de SR: 17 (70,8%) com SR clássico, 5 (20,8%) com SR atípico e 2 (8,4%) com SR potencial; em 9 pacientes o diagnóstico de SR foi excluído através de dados clínicos e / ou exames complementares. Entre os casos de SR atípico, quatro eram forma frustra e um, forma congênita. Entre os casos com outras encefalopatias, malformação cerebral foi o achado mais freqüente.","container-title":"Arquivos de Neuro-Psiquiatria","DOI":"10.1590/S0004-282X2003000600004","ISSN":"0004-282X","issue":"4","journalAbbreviation":"Arq. Neuro-Psiquiatr.","page":"909-915","source":"DOI.org (Crossref)","title":"Rett syndrome: clinical and epidemiological aspects in a Brazilian institution","title-short":"Rett syndrome","volume":"61","author":[{"family":"Pozzi","given":"Cristina M."},{"family":"Rosemberg","given":"Sergio"}],"issued":{"date-parts":[["2003",12]]}}}],"schema":"https://github.com/citation-style-language/schema/raw/master/csl-citation.json"} </w:instrText>
            </w:r>
            <w:r w:rsidR="00870814" w:rsidRPr="009B66A4">
              <w:rPr>
                <w:rFonts w:ascii="Calibri" w:eastAsia="Times New Roman" w:hAnsi="Calibri" w:cs="Calibri"/>
                <w:kern w:val="0"/>
                <w:sz w:val="20"/>
                <w:szCs w:val="20"/>
                <w14:ligatures w14:val="none"/>
              </w:rPr>
              <w:fldChar w:fldCharType="separate"/>
            </w:r>
            <w:r w:rsidR="00D67703" w:rsidRPr="009B66A4">
              <w:rPr>
                <w:rFonts w:ascii="Calibri" w:hAnsi="Calibri" w:cs="Calibri"/>
                <w:sz w:val="20"/>
                <w:szCs w:val="20"/>
              </w:rPr>
              <w:t>[143]</w:t>
            </w:r>
            <w:r w:rsidR="00870814"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A7B443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Brazil</w:t>
            </w:r>
          </w:p>
        </w:tc>
        <w:tc>
          <w:tcPr>
            <w:tcW w:w="1316" w:type="dxa"/>
            <w:noWrap/>
            <w:vAlign w:val="center"/>
            <w:hideMark/>
          </w:tcPr>
          <w:p w14:paraId="35F441C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Case-reports/Case-series</w:t>
            </w:r>
          </w:p>
        </w:tc>
        <w:tc>
          <w:tcPr>
            <w:tcW w:w="494" w:type="dxa"/>
            <w:noWrap/>
            <w:hideMark/>
          </w:tcPr>
          <w:p w14:paraId="768D372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228AB42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3E2E314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0D256D5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w:t>
            </w:r>
          </w:p>
        </w:tc>
        <w:tc>
          <w:tcPr>
            <w:tcW w:w="1682" w:type="dxa"/>
            <w:vAlign w:val="center"/>
            <w:hideMark/>
          </w:tcPr>
          <w:p w14:paraId="6FDFDE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7A6D437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4CC14EA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24 (100%)</w:t>
            </w:r>
          </w:p>
        </w:tc>
        <w:tc>
          <w:tcPr>
            <w:tcW w:w="1394" w:type="dxa"/>
            <w:vAlign w:val="center"/>
            <w:hideMark/>
          </w:tcPr>
          <w:p w14:paraId="2EF2EEE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Align w:val="center"/>
            <w:hideMark/>
          </w:tcPr>
          <w:p w14:paraId="38C2E6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24D05FE" w14:textId="77777777" w:rsidTr="00A3759F">
        <w:trPr>
          <w:trHeight w:val="20"/>
        </w:trPr>
        <w:tc>
          <w:tcPr>
            <w:tcW w:w="1444" w:type="dxa"/>
            <w:noWrap/>
            <w:vAlign w:val="center"/>
            <w:hideMark/>
          </w:tcPr>
          <w:p w14:paraId="77AD5A4B" w14:textId="18C60C8E"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lastRenderedPageBreak/>
              <w:t>Pillion, 2003</w:t>
            </w:r>
            <w:r w:rsidR="00D67703" w:rsidRPr="009B66A4">
              <w:rPr>
                <w:rFonts w:ascii="Calibri" w:eastAsia="Times New Roman" w:hAnsi="Calibri" w:cs="Calibri"/>
                <w:kern w:val="0"/>
                <w:sz w:val="20"/>
                <w:szCs w:val="20"/>
                <w14:ligatures w14:val="none"/>
              </w:rPr>
              <w:fldChar w:fldCharType="begin"/>
            </w:r>
            <w:r w:rsidR="00713B5E" w:rsidRPr="009B66A4">
              <w:rPr>
                <w:rFonts w:ascii="Calibri" w:eastAsia="Times New Roman" w:hAnsi="Calibri" w:cs="Calibri"/>
                <w:kern w:val="0"/>
                <w:sz w:val="20"/>
                <w:szCs w:val="20"/>
                <w14:ligatures w14:val="none"/>
              </w:rPr>
              <w:instrText xml:space="preserve"> ADDIN ZOTERO_ITEM CSL_CITATION {"citationID":"LFyWtRAx","properties":{"formattedCitation":"[144]","plainCitation":"[144]","noteIndex":0},"citationItems":[{"id":3511,"uris":["http://zotero.org/users/11896629/items/VGHS3ITH"],"itemData":{"id":3511,"type":"article-journal","container-title":"Developmental Medicine &amp; Child Neurology","DOI":"10.1017/S0012162203000628","ISSN":"0012-1622, 1469-8749","issue":"05","journalAbbreviation":"Dev Med Child Neurol","language":"en","license":"http://doi.wiley.com/10.1002/tdm_license_1","source":"DOI.org (Crossref)","title":"Prevalence of hearing loss in Rett syndrome","URL":"http://doi.wiley.com/10.1017/S0012162203000628","volume":"45","author":[{"family":"Pillion","given":"Joseph P"},{"family":"Rawool","given":"Vishakha W"},{"family":"Bibat","given":"Genila"},{"family":"Naidu","given":"Sakkubai"}],"accessed":{"date-parts":[["2026",2,16]]},"issued":{"date-parts":[["2003",5]]}}}],"schema":"https://github.com/citation-style-language/schema/raw/master/csl-citation.json"} </w:instrText>
            </w:r>
            <w:r w:rsidR="00D67703" w:rsidRPr="009B66A4">
              <w:rPr>
                <w:rFonts w:ascii="Calibri" w:eastAsia="Times New Roman" w:hAnsi="Calibri" w:cs="Calibri"/>
                <w:kern w:val="0"/>
                <w:sz w:val="20"/>
                <w:szCs w:val="20"/>
                <w14:ligatures w14:val="none"/>
              </w:rPr>
              <w:fldChar w:fldCharType="separate"/>
            </w:r>
            <w:r w:rsidR="00713B5E" w:rsidRPr="009B66A4">
              <w:rPr>
                <w:rFonts w:ascii="Calibri" w:hAnsi="Calibri" w:cs="Calibri"/>
                <w:sz w:val="20"/>
                <w:szCs w:val="20"/>
              </w:rPr>
              <w:t>[144]</w:t>
            </w:r>
            <w:r w:rsidR="00D67703"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506DD81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USA</w:t>
            </w:r>
          </w:p>
        </w:tc>
        <w:tc>
          <w:tcPr>
            <w:tcW w:w="1316" w:type="dxa"/>
            <w:noWrap/>
            <w:vAlign w:val="center"/>
            <w:hideMark/>
          </w:tcPr>
          <w:p w14:paraId="210708E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Cross-sectional study</w:t>
            </w:r>
          </w:p>
        </w:tc>
        <w:tc>
          <w:tcPr>
            <w:tcW w:w="494" w:type="dxa"/>
            <w:noWrap/>
            <w:vAlign w:val="center"/>
            <w:hideMark/>
          </w:tcPr>
          <w:p w14:paraId="25EC472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74726B7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6491E5A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4C24630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81</w:t>
            </w:r>
          </w:p>
        </w:tc>
        <w:tc>
          <w:tcPr>
            <w:tcW w:w="1682" w:type="dxa"/>
            <w:vAlign w:val="center"/>
            <w:hideMark/>
          </w:tcPr>
          <w:p w14:paraId="2AF7ED3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 years and 7 months (6 years and 4 months)</w:t>
            </w:r>
          </w:p>
        </w:tc>
        <w:tc>
          <w:tcPr>
            <w:tcW w:w="1394" w:type="dxa"/>
            <w:noWrap/>
            <w:vAlign w:val="center"/>
            <w:hideMark/>
          </w:tcPr>
          <w:p w14:paraId="04534EF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Align w:val="center"/>
            <w:hideMark/>
          </w:tcPr>
          <w:p w14:paraId="0B09FFC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81 (100%)</w:t>
            </w:r>
          </w:p>
        </w:tc>
        <w:tc>
          <w:tcPr>
            <w:tcW w:w="1394" w:type="dxa"/>
            <w:vAlign w:val="center"/>
            <w:hideMark/>
          </w:tcPr>
          <w:p w14:paraId="19A5394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22 (81.48%)</w:t>
            </w:r>
          </w:p>
        </w:tc>
        <w:tc>
          <w:tcPr>
            <w:tcW w:w="1438" w:type="dxa"/>
            <w:vAlign w:val="center"/>
            <w:hideMark/>
          </w:tcPr>
          <w:p w14:paraId="7293FC9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02DCB85D" w14:textId="77777777" w:rsidTr="00A3759F">
        <w:trPr>
          <w:trHeight w:val="20"/>
        </w:trPr>
        <w:tc>
          <w:tcPr>
            <w:tcW w:w="1444" w:type="dxa"/>
            <w:vMerge w:val="restart"/>
            <w:noWrap/>
            <w:vAlign w:val="center"/>
            <w:hideMark/>
          </w:tcPr>
          <w:p w14:paraId="4FEBA77B" w14:textId="2F975A0B"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Cass, 2003</w:t>
            </w:r>
            <w:r w:rsidR="00713B5E" w:rsidRPr="009B66A4">
              <w:rPr>
                <w:rFonts w:ascii="Calibri" w:eastAsia="Times New Roman" w:hAnsi="Calibri" w:cs="Calibri"/>
                <w:kern w:val="0"/>
                <w:sz w:val="20"/>
                <w:szCs w:val="20"/>
                <w14:ligatures w14:val="none"/>
              </w:rPr>
              <w:fldChar w:fldCharType="begin"/>
            </w:r>
            <w:r w:rsidR="007326AD" w:rsidRPr="009B66A4">
              <w:rPr>
                <w:rFonts w:ascii="Calibri" w:eastAsia="Times New Roman" w:hAnsi="Calibri" w:cs="Calibri"/>
                <w:kern w:val="0"/>
                <w:sz w:val="20"/>
                <w:szCs w:val="20"/>
                <w14:ligatures w14:val="none"/>
              </w:rPr>
              <w:instrText xml:space="preserve"> ADDIN ZOTERO_ITEM CSL_CITATION {"citationID":"NbdSjCrO","properties":{"formattedCitation":"[145]","plainCitation":"[145]","noteIndex":0},"citationItems":[{"id":3512,"uris":["http://zotero.org/users/11896629/items/FR5JEGXN"],"itemData":{"id":3512,"type":"article-journal","container-title":"Developmental Medicine &amp; Child Neurology","DOI":"10.1017/S0012162203000616","ISSN":"0012-1622, 1469-8749","issue":"05","journalAbbreviation":"Dev Med Child Neurol","language":"en","license":"http://doi.wiley.com/10.1002/tdm_license_1","source":"DOI.org (Crossref)","title":"Findings from a multidisciplinary clinical case series of females with Rett syndrome","URL":"http://doi.wiley.com/10.1017/S0012162203000616","volume":"45","author":[{"family":"Cass","given":"Hilary"},{"family":"Reilly","given":"Sheena"},{"family":"Owen","given":"Lucy"},{"family":"Wisbeach","given":"Alison"},{"family":"Weekes","given":"Lyn"},{"family":"Slonims","given":"Vicky"},{"family":"Wigram","given":"Tony"},{"family":"Charman","given":"Tony"}],"accessed":{"date-parts":[["2026",2,16]]},"issued":{"date-parts":[["2003",5]]}}}],"schema":"https://github.com/citation-style-language/schema/raw/master/csl-citation.json"} </w:instrText>
            </w:r>
            <w:r w:rsidR="00713B5E" w:rsidRPr="009B66A4">
              <w:rPr>
                <w:rFonts w:ascii="Calibri" w:eastAsia="Times New Roman" w:hAnsi="Calibri" w:cs="Calibri"/>
                <w:kern w:val="0"/>
                <w:sz w:val="20"/>
                <w:szCs w:val="20"/>
                <w14:ligatures w14:val="none"/>
              </w:rPr>
              <w:fldChar w:fldCharType="separate"/>
            </w:r>
            <w:r w:rsidR="007326AD" w:rsidRPr="009B66A4">
              <w:rPr>
                <w:rFonts w:ascii="Calibri" w:hAnsi="Calibri" w:cs="Calibri"/>
                <w:sz w:val="20"/>
                <w:szCs w:val="20"/>
              </w:rPr>
              <w:t>[145]</w:t>
            </w:r>
            <w:r w:rsidR="00713B5E"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1E84FB1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vMerge w:val="restart"/>
            <w:noWrap/>
            <w:vAlign w:val="center"/>
            <w:hideMark/>
          </w:tcPr>
          <w:p w14:paraId="6EA1804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Case-reports/Case-series</w:t>
            </w:r>
          </w:p>
        </w:tc>
        <w:tc>
          <w:tcPr>
            <w:tcW w:w="494" w:type="dxa"/>
            <w:vMerge w:val="restart"/>
            <w:noWrap/>
            <w:hideMark/>
          </w:tcPr>
          <w:p w14:paraId="44C3760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199451D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6A14C11B"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39410964"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87</w:t>
            </w:r>
          </w:p>
        </w:tc>
        <w:tc>
          <w:tcPr>
            <w:tcW w:w="1682" w:type="dxa"/>
            <w:vAlign w:val="center"/>
            <w:hideMark/>
          </w:tcPr>
          <w:p w14:paraId="0F12205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Age groups:</w:t>
            </w:r>
          </w:p>
        </w:tc>
        <w:tc>
          <w:tcPr>
            <w:tcW w:w="1394" w:type="dxa"/>
            <w:vMerge w:val="restart"/>
            <w:noWrap/>
            <w:vAlign w:val="center"/>
            <w:hideMark/>
          </w:tcPr>
          <w:p w14:paraId="456F69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vMerge w:val="restart"/>
            <w:vAlign w:val="center"/>
            <w:hideMark/>
          </w:tcPr>
          <w:p w14:paraId="5E2A2B1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87 (100%)</w:t>
            </w:r>
          </w:p>
        </w:tc>
        <w:tc>
          <w:tcPr>
            <w:tcW w:w="1394" w:type="dxa"/>
            <w:vMerge w:val="restart"/>
            <w:vAlign w:val="center"/>
            <w:hideMark/>
          </w:tcPr>
          <w:p w14:paraId="12C3F96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vAlign w:val="center"/>
            <w:hideMark/>
          </w:tcPr>
          <w:p w14:paraId="0344D64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477CC88" w14:textId="77777777" w:rsidTr="00A3759F">
        <w:trPr>
          <w:trHeight w:val="20"/>
        </w:trPr>
        <w:tc>
          <w:tcPr>
            <w:tcW w:w="1444" w:type="dxa"/>
            <w:vMerge/>
            <w:vAlign w:val="center"/>
            <w:hideMark/>
          </w:tcPr>
          <w:p w14:paraId="68996A1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0885FA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6AC95C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9FA495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1DB734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7AE2563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8134E2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77A93E72" w14:textId="5DB1BC91" w:rsidR="00302A4B" w:rsidRPr="009B66A4" w:rsidRDefault="00A3759F"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&lt;</w:t>
            </w:r>
            <w:r w:rsidR="00302A4B" w:rsidRPr="009B66A4">
              <w:rPr>
                <w:rFonts w:ascii="Calibri" w:eastAsia="Times New Roman" w:hAnsi="Calibri" w:cs="Calibri"/>
                <w:kern w:val="0"/>
                <w:sz w:val="20"/>
                <w:szCs w:val="20"/>
                <w14:ligatures w14:val="none"/>
              </w:rPr>
              <w:t>5 years: Mean 3 years and 2 months (8 months)</w:t>
            </w:r>
          </w:p>
        </w:tc>
        <w:tc>
          <w:tcPr>
            <w:tcW w:w="1394" w:type="dxa"/>
            <w:vMerge/>
            <w:vAlign w:val="center"/>
            <w:hideMark/>
          </w:tcPr>
          <w:p w14:paraId="32CDA24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5D7A29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C84323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468697B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1C532CE2" w14:textId="77777777" w:rsidTr="00A3759F">
        <w:trPr>
          <w:trHeight w:val="20"/>
        </w:trPr>
        <w:tc>
          <w:tcPr>
            <w:tcW w:w="1444" w:type="dxa"/>
            <w:vMerge/>
            <w:vAlign w:val="center"/>
            <w:hideMark/>
          </w:tcPr>
          <w:p w14:paraId="72EE50F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BA4686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2D46D1A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10E6968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792A0AE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CF1AA9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E2A5F2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7A918ED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 to 9 years: Mean 7 years and 6 months (1 year and 10 months)</w:t>
            </w:r>
          </w:p>
        </w:tc>
        <w:tc>
          <w:tcPr>
            <w:tcW w:w="1394" w:type="dxa"/>
            <w:vMerge/>
            <w:vAlign w:val="center"/>
            <w:hideMark/>
          </w:tcPr>
          <w:p w14:paraId="3D21E45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841986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78157A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680B80A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B91A642" w14:textId="77777777" w:rsidTr="00A3759F">
        <w:trPr>
          <w:trHeight w:val="20"/>
        </w:trPr>
        <w:tc>
          <w:tcPr>
            <w:tcW w:w="1444" w:type="dxa"/>
            <w:vMerge/>
            <w:vAlign w:val="center"/>
            <w:hideMark/>
          </w:tcPr>
          <w:p w14:paraId="3DEDA60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1064E4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9F5D26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696C19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08DB2D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2711EA9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561ADE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3F5A155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 29 years: Mean 3 years and 8 months (2 years and 2 months)</w:t>
            </w:r>
          </w:p>
        </w:tc>
        <w:tc>
          <w:tcPr>
            <w:tcW w:w="1394" w:type="dxa"/>
            <w:vMerge/>
            <w:vAlign w:val="center"/>
            <w:hideMark/>
          </w:tcPr>
          <w:p w14:paraId="7DF2A0D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012702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E65DD7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64EEE34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7EE7B960" w14:textId="77777777" w:rsidTr="00A3759F">
        <w:trPr>
          <w:trHeight w:val="20"/>
        </w:trPr>
        <w:tc>
          <w:tcPr>
            <w:tcW w:w="1444" w:type="dxa"/>
            <w:vMerge/>
            <w:vAlign w:val="center"/>
            <w:hideMark/>
          </w:tcPr>
          <w:p w14:paraId="5DA403C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7832906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46DBDEA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BFA392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496EC69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39C53E7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5EF90F46"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13CBE04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&gt;20 years: Mean 27 years (7 years and 6 months)</w:t>
            </w:r>
          </w:p>
        </w:tc>
        <w:tc>
          <w:tcPr>
            <w:tcW w:w="1394" w:type="dxa"/>
            <w:vMerge/>
            <w:vAlign w:val="center"/>
            <w:hideMark/>
          </w:tcPr>
          <w:p w14:paraId="0F68A4B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C83E9E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BB1329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47ED8A8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6820421D" w14:textId="77777777" w:rsidTr="00A3759F">
        <w:trPr>
          <w:trHeight w:val="20"/>
        </w:trPr>
        <w:tc>
          <w:tcPr>
            <w:tcW w:w="1444" w:type="dxa"/>
            <w:vMerge w:val="restart"/>
            <w:noWrap/>
            <w:vAlign w:val="center"/>
            <w:hideMark/>
          </w:tcPr>
          <w:p w14:paraId="1ABF8666" w14:textId="79C77491"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Julu, 2001</w:t>
            </w:r>
            <w:r w:rsidR="007326AD" w:rsidRPr="009B66A4">
              <w:rPr>
                <w:rFonts w:ascii="Calibri" w:eastAsia="Times New Roman" w:hAnsi="Calibri" w:cs="Calibri"/>
                <w:kern w:val="0"/>
                <w:sz w:val="20"/>
                <w:szCs w:val="20"/>
                <w14:ligatures w14:val="none"/>
              </w:rPr>
              <w:fldChar w:fldCharType="begin"/>
            </w:r>
            <w:r w:rsidR="00C00ACA" w:rsidRPr="009B66A4">
              <w:rPr>
                <w:rFonts w:ascii="Calibri" w:eastAsia="Times New Roman" w:hAnsi="Calibri" w:cs="Calibri"/>
                <w:kern w:val="0"/>
                <w:sz w:val="20"/>
                <w:szCs w:val="20"/>
                <w14:ligatures w14:val="none"/>
              </w:rPr>
              <w:instrText xml:space="preserve"> ADDIN ZOTERO_ITEM CSL_CITATION {"citationID":"9BbWj1ZN","properties":{"formattedCitation":"[146]","plainCitation":"[146]","noteIndex":0},"citationItems":[{"id":3513,"uris":["http://zotero.org/users/11896629/items/4W265ZIQ"],"itemData":{"id":3513,"type":"article-journal","abstract":"AIM\n              To investigate breathing rhythm and brain stem autonomic control in patients with Rett disorder.\n            \n            \n              SETTING\n              Two university teaching hospitals in the United Kingdom and the Rett Centre, Sweden.\n            \n            \n              PATIENTS\n              56 female patients with Rett disorder, aged 2–35 years; 11 controls aged 5–28 years.\n            \n            \n              DESIGN\n              One hour recordings of breathing movement, blood pressure, ECG R-R interval, heart rate, transcutaneous blood gases, cardiac vagal tone, and cardiac sensitivity to baroreflex measured on-line with synchronous EEG and video. Breathing rhythms were analysed in 47 cases.\n            \n            \n              RESULTS\n              Respiratory rhythm was normal during sleep and abnormal in the waking state. Forced and apneustic breathing were prominent among 5–10 year olds, and Valsalva breathing in the over 18 year olds, who were also most likely to breathe normally. Inadequate breathing peaked among 10–18 year olds. Inadequate and exaggerated breathing was associated with vacant spells. Resting cardiac vagal tone and cardiac sensitivity to baroreflex were reduced.\n            \n            \n              CONCLUSIONS\n              Labile respiratory rhythms and poor integrative inhibition in Rett disorder suggest brain immaturity. Linking this to an early monoaminergic defect suggests possible targets for the MECP2 gene in clinical intervention. Exaggerated and inadequate autonomic responses may contribute to sudden death.","container-title":"Archives of Disease in Childhood","DOI":"10.1136/adc.85.1.29","ISSN":"0003-9888, 1468-2044","issue":"1","journalAbbreviation":"Arch Dis Child","language":"en","page":"29-37","source":"DOI.org (Crossref)","title":"Characterisation of breathing and associated central autonomic dysfunction in the Rett disorder","volume":"85","author":[{"family":"Julu","given":"P O O"},{"family":"Kerr","given":"A M"},{"family":"Apartopoulos","given":"F"},{"family":"Al-Rawas","given":"S"},{"family":"Engerström","given":"I Witt"},{"family":"Engerström","given":"L"},{"family":"Jamal","given":"G A"},{"family":"Hansen","given":"S"}],"issued":{"date-parts":[["2001",7,1]]}}}],"schema":"https://github.com/citation-style-language/schema/raw/master/csl-citation.json"} </w:instrText>
            </w:r>
            <w:r w:rsidR="007326AD" w:rsidRPr="009B66A4">
              <w:rPr>
                <w:rFonts w:ascii="Calibri" w:eastAsia="Times New Roman" w:hAnsi="Calibri" w:cs="Calibri"/>
                <w:kern w:val="0"/>
                <w:sz w:val="20"/>
                <w:szCs w:val="20"/>
                <w14:ligatures w14:val="none"/>
              </w:rPr>
              <w:fldChar w:fldCharType="separate"/>
            </w:r>
            <w:r w:rsidR="00C00ACA" w:rsidRPr="009B66A4">
              <w:rPr>
                <w:rFonts w:ascii="Calibri" w:hAnsi="Calibri" w:cs="Calibri"/>
                <w:sz w:val="20"/>
                <w:szCs w:val="20"/>
              </w:rPr>
              <w:t>[146]</w:t>
            </w:r>
            <w:r w:rsidR="007326AD" w:rsidRPr="009B66A4">
              <w:rPr>
                <w:rFonts w:ascii="Calibri" w:eastAsia="Times New Roman" w:hAnsi="Calibri" w:cs="Calibri"/>
                <w:kern w:val="0"/>
                <w:sz w:val="20"/>
                <w:szCs w:val="20"/>
                <w14:ligatures w14:val="none"/>
              </w:rPr>
              <w:fldChar w:fldCharType="end"/>
            </w:r>
          </w:p>
        </w:tc>
        <w:tc>
          <w:tcPr>
            <w:tcW w:w="1194" w:type="dxa"/>
            <w:vMerge w:val="restart"/>
            <w:noWrap/>
            <w:vAlign w:val="center"/>
            <w:hideMark/>
          </w:tcPr>
          <w:p w14:paraId="4093A789"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 Sweden</w:t>
            </w:r>
          </w:p>
        </w:tc>
        <w:tc>
          <w:tcPr>
            <w:tcW w:w="1316" w:type="dxa"/>
            <w:vMerge w:val="restart"/>
            <w:noWrap/>
            <w:vAlign w:val="center"/>
            <w:hideMark/>
          </w:tcPr>
          <w:p w14:paraId="7B8EFA3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Case-control</w:t>
            </w:r>
          </w:p>
        </w:tc>
        <w:tc>
          <w:tcPr>
            <w:tcW w:w="494" w:type="dxa"/>
            <w:vMerge w:val="restart"/>
            <w:noWrap/>
            <w:hideMark/>
          </w:tcPr>
          <w:p w14:paraId="37234E0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Merge w:val="restart"/>
            <w:vAlign w:val="center"/>
            <w:hideMark/>
          </w:tcPr>
          <w:p w14:paraId="607548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Merge w:val="restart"/>
            <w:vAlign w:val="center"/>
            <w:hideMark/>
          </w:tcPr>
          <w:p w14:paraId="0E6078D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Merge w:val="restart"/>
            <w:noWrap/>
            <w:vAlign w:val="center"/>
            <w:hideMark/>
          </w:tcPr>
          <w:p w14:paraId="2608AA8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47</w:t>
            </w:r>
          </w:p>
        </w:tc>
        <w:tc>
          <w:tcPr>
            <w:tcW w:w="1682" w:type="dxa"/>
            <w:vAlign w:val="center"/>
            <w:hideMark/>
          </w:tcPr>
          <w:p w14:paraId="3583798D"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Median</w:t>
            </w:r>
          </w:p>
        </w:tc>
        <w:tc>
          <w:tcPr>
            <w:tcW w:w="1394" w:type="dxa"/>
            <w:vMerge w:val="restart"/>
            <w:noWrap/>
            <w:vAlign w:val="center"/>
            <w:hideMark/>
          </w:tcPr>
          <w:p w14:paraId="0FDAF50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Merge w:val="restart"/>
            <w:noWrap/>
            <w:vAlign w:val="center"/>
            <w:hideMark/>
          </w:tcPr>
          <w:p w14:paraId="5DF61EF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vMerge w:val="restart"/>
            <w:noWrap/>
            <w:vAlign w:val="center"/>
            <w:hideMark/>
          </w:tcPr>
          <w:p w14:paraId="460E263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vMerge w:val="restart"/>
            <w:noWrap/>
            <w:vAlign w:val="center"/>
            <w:hideMark/>
          </w:tcPr>
          <w:p w14:paraId="27DD194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30B979E2" w14:textId="77777777" w:rsidTr="00A3759F">
        <w:trPr>
          <w:trHeight w:val="20"/>
        </w:trPr>
        <w:tc>
          <w:tcPr>
            <w:tcW w:w="1444" w:type="dxa"/>
            <w:vMerge/>
            <w:vAlign w:val="center"/>
            <w:hideMark/>
          </w:tcPr>
          <w:p w14:paraId="389533A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4EEB040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290563A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4ECC7D2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15E9C3D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440BE3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172F2C9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07CEF6D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 years: 3.6</w:t>
            </w:r>
          </w:p>
        </w:tc>
        <w:tc>
          <w:tcPr>
            <w:tcW w:w="1394" w:type="dxa"/>
            <w:vMerge/>
            <w:vAlign w:val="center"/>
            <w:hideMark/>
          </w:tcPr>
          <w:p w14:paraId="29DFBF3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7B679A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E6657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37436D0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1706CD6B" w14:textId="77777777" w:rsidTr="00A3759F">
        <w:trPr>
          <w:trHeight w:val="20"/>
        </w:trPr>
        <w:tc>
          <w:tcPr>
            <w:tcW w:w="1444" w:type="dxa"/>
            <w:vMerge/>
            <w:vAlign w:val="center"/>
            <w:hideMark/>
          </w:tcPr>
          <w:p w14:paraId="5685A79F"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607C546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1CBEE4D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625EA5E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640FBB4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4A8F7DC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DD870D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736CC6A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6 – 9 years: 7.6</w:t>
            </w:r>
          </w:p>
        </w:tc>
        <w:tc>
          <w:tcPr>
            <w:tcW w:w="1394" w:type="dxa"/>
            <w:vMerge/>
            <w:vAlign w:val="center"/>
            <w:hideMark/>
          </w:tcPr>
          <w:p w14:paraId="2F0D246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63B088C"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41C3970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078511C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64D6337" w14:textId="77777777" w:rsidTr="00A3759F">
        <w:trPr>
          <w:trHeight w:val="20"/>
        </w:trPr>
        <w:tc>
          <w:tcPr>
            <w:tcW w:w="1444" w:type="dxa"/>
            <w:vMerge/>
            <w:vAlign w:val="center"/>
            <w:hideMark/>
          </w:tcPr>
          <w:p w14:paraId="7B032D1A"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43E6373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71E1A4C7"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787B580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2EED20E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A14B481"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675DB09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104CC17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10 – 18 years: 12.3</w:t>
            </w:r>
          </w:p>
        </w:tc>
        <w:tc>
          <w:tcPr>
            <w:tcW w:w="1394" w:type="dxa"/>
            <w:vMerge/>
            <w:vAlign w:val="center"/>
            <w:hideMark/>
          </w:tcPr>
          <w:p w14:paraId="6BA6AA93"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3EABA0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0EEF2BF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08761D44"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2F3A49CD" w14:textId="77777777" w:rsidTr="00A3759F">
        <w:trPr>
          <w:trHeight w:val="20"/>
        </w:trPr>
        <w:tc>
          <w:tcPr>
            <w:tcW w:w="1444" w:type="dxa"/>
            <w:vMerge/>
            <w:vAlign w:val="center"/>
            <w:hideMark/>
          </w:tcPr>
          <w:p w14:paraId="51E40095"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194" w:type="dxa"/>
            <w:vMerge/>
            <w:vAlign w:val="center"/>
            <w:hideMark/>
          </w:tcPr>
          <w:p w14:paraId="32F7388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16" w:type="dxa"/>
            <w:vMerge/>
            <w:vAlign w:val="center"/>
            <w:hideMark/>
          </w:tcPr>
          <w:p w14:paraId="5140A28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94" w:type="dxa"/>
            <w:vMerge/>
            <w:vAlign w:val="center"/>
            <w:hideMark/>
          </w:tcPr>
          <w:p w14:paraId="37A80F2D"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550" w:type="dxa"/>
            <w:vMerge/>
            <w:vAlign w:val="center"/>
            <w:hideMark/>
          </w:tcPr>
          <w:p w14:paraId="455B0E0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472" w:type="dxa"/>
            <w:vMerge/>
            <w:vAlign w:val="center"/>
            <w:hideMark/>
          </w:tcPr>
          <w:p w14:paraId="51363D3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28D67D69"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682" w:type="dxa"/>
            <w:vAlign w:val="center"/>
            <w:hideMark/>
          </w:tcPr>
          <w:p w14:paraId="4795DB3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&gt; 18 years: 28.5</w:t>
            </w:r>
          </w:p>
        </w:tc>
        <w:tc>
          <w:tcPr>
            <w:tcW w:w="1394" w:type="dxa"/>
            <w:vMerge/>
            <w:vAlign w:val="center"/>
            <w:hideMark/>
          </w:tcPr>
          <w:p w14:paraId="5B08B8E8"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78AA7EE2"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394" w:type="dxa"/>
            <w:vMerge/>
            <w:vAlign w:val="center"/>
            <w:hideMark/>
          </w:tcPr>
          <w:p w14:paraId="3FD2A5CE"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c>
          <w:tcPr>
            <w:tcW w:w="1438" w:type="dxa"/>
            <w:vMerge/>
            <w:vAlign w:val="center"/>
            <w:hideMark/>
          </w:tcPr>
          <w:p w14:paraId="0F2F9380"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p>
        </w:tc>
      </w:tr>
      <w:tr w:rsidR="00713B5E" w:rsidRPr="009B66A4" w14:paraId="3437EB59" w14:textId="77777777" w:rsidTr="00A3759F">
        <w:trPr>
          <w:trHeight w:val="20"/>
        </w:trPr>
        <w:tc>
          <w:tcPr>
            <w:tcW w:w="1444" w:type="dxa"/>
            <w:noWrap/>
            <w:vAlign w:val="center"/>
            <w:hideMark/>
          </w:tcPr>
          <w:p w14:paraId="6A2E0F11" w14:textId="6A88F86D"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Kerr, 2001</w:t>
            </w:r>
            <w:r w:rsidR="00C00ACA" w:rsidRPr="009B66A4">
              <w:rPr>
                <w:rFonts w:ascii="Calibri" w:eastAsia="Times New Roman" w:hAnsi="Calibri" w:cs="Calibri"/>
                <w:kern w:val="0"/>
                <w:sz w:val="20"/>
                <w:szCs w:val="20"/>
                <w14:ligatures w14:val="none"/>
              </w:rPr>
              <w:fldChar w:fldCharType="begin"/>
            </w:r>
            <w:r w:rsidR="00546978" w:rsidRPr="009B66A4">
              <w:rPr>
                <w:rFonts w:ascii="Calibri" w:eastAsia="Times New Roman" w:hAnsi="Calibri" w:cs="Calibri"/>
                <w:kern w:val="0"/>
                <w:sz w:val="20"/>
                <w:szCs w:val="20"/>
                <w14:ligatures w14:val="none"/>
              </w:rPr>
              <w:instrText xml:space="preserve"> ADDIN ZOTERO_ITEM CSL_CITATION {"citationID":"5KOJbvYH","properties":{"formattedCitation":"[147]","plainCitation":"[147]","noteIndex":0},"citationItems":[{"id":3515,"uris":["http://zotero.org/users/11896629/items/QE7H9ZND"],"itemData":{"id":3515,"type":"article-journal","container-title":"Brain and Development","DOI":"10.1016/S0387-7604(01)00337-0","ISSN":"03877604","journalAbbreviation":"Brain and Development","language":"en","license":"https://www.elsevier.com/tdm/userlicense/1.0/","page":"S44-S49","source":"DOI.org (Crossref)","title":"Mind and brain in Rett disorder","volume":"23","author":[{"family":"Kerr","given":"Alison M."},{"family":"Belichenko","given":"Pavel"},{"family":"Woodcock","given":"Tiffany"},{"family":"Woodcock","given":"Maureen"}],"issued":{"date-parts":[["2001",12]]}}}],"schema":"https://github.com/citation-style-language/schema/raw/master/csl-citation.json"} </w:instrText>
            </w:r>
            <w:r w:rsidR="00C00ACA" w:rsidRPr="009B66A4">
              <w:rPr>
                <w:rFonts w:ascii="Calibri" w:eastAsia="Times New Roman" w:hAnsi="Calibri" w:cs="Calibri"/>
                <w:kern w:val="0"/>
                <w:sz w:val="20"/>
                <w:szCs w:val="20"/>
                <w14:ligatures w14:val="none"/>
              </w:rPr>
              <w:fldChar w:fldCharType="separate"/>
            </w:r>
            <w:r w:rsidR="00546978" w:rsidRPr="009B66A4">
              <w:rPr>
                <w:rFonts w:ascii="Calibri" w:hAnsi="Calibri" w:cs="Calibri"/>
                <w:sz w:val="20"/>
                <w:szCs w:val="20"/>
              </w:rPr>
              <w:t>[147]</w:t>
            </w:r>
            <w:r w:rsidR="00C00ACA"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0404F7F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UK</w:t>
            </w:r>
          </w:p>
        </w:tc>
        <w:tc>
          <w:tcPr>
            <w:tcW w:w="1316" w:type="dxa"/>
            <w:noWrap/>
            <w:vAlign w:val="center"/>
            <w:hideMark/>
          </w:tcPr>
          <w:p w14:paraId="4DA96AB6"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Retrospective cohort</w:t>
            </w:r>
          </w:p>
        </w:tc>
        <w:tc>
          <w:tcPr>
            <w:tcW w:w="494" w:type="dxa"/>
            <w:noWrap/>
            <w:hideMark/>
          </w:tcPr>
          <w:p w14:paraId="776FB9DB" w14:textId="77777777"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550" w:type="dxa"/>
            <w:vAlign w:val="center"/>
            <w:hideMark/>
          </w:tcPr>
          <w:p w14:paraId="1439FC6C"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0F958A7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noWrap/>
            <w:vAlign w:val="center"/>
            <w:hideMark/>
          </w:tcPr>
          <w:p w14:paraId="76EC9DEF"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w:t>
            </w:r>
          </w:p>
        </w:tc>
        <w:tc>
          <w:tcPr>
            <w:tcW w:w="1682" w:type="dxa"/>
            <w:noWrap/>
            <w:vAlign w:val="center"/>
            <w:hideMark/>
          </w:tcPr>
          <w:p w14:paraId="6E73E35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6EE48040"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0</w:t>
            </w:r>
          </w:p>
        </w:tc>
        <w:tc>
          <w:tcPr>
            <w:tcW w:w="1394" w:type="dxa"/>
            <w:noWrap/>
            <w:vAlign w:val="center"/>
            <w:hideMark/>
          </w:tcPr>
          <w:p w14:paraId="4F1911C2"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394" w:type="dxa"/>
            <w:noWrap/>
            <w:vAlign w:val="center"/>
            <w:hideMark/>
          </w:tcPr>
          <w:p w14:paraId="0FCB18B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20 (100%)</w:t>
            </w:r>
          </w:p>
        </w:tc>
        <w:tc>
          <w:tcPr>
            <w:tcW w:w="1438" w:type="dxa"/>
            <w:noWrap/>
            <w:vAlign w:val="center"/>
            <w:hideMark/>
          </w:tcPr>
          <w:p w14:paraId="7D800B21"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r w:rsidR="00713B5E" w:rsidRPr="009B66A4" w14:paraId="2434BE3B" w14:textId="77777777" w:rsidTr="00A3759F">
        <w:trPr>
          <w:trHeight w:val="20"/>
        </w:trPr>
        <w:tc>
          <w:tcPr>
            <w:tcW w:w="1444" w:type="dxa"/>
            <w:noWrap/>
            <w:vAlign w:val="center"/>
            <w:hideMark/>
          </w:tcPr>
          <w:p w14:paraId="604C80A2" w14:textId="580CCCDC" w:rsidR="00302A4B" w:rsidRPr="009B66A4" w:rsidRDefault="00302A4B" w:rsidP="00302A4B">
            <w:pPr>
              <w:spacing w:after="0" w:line="240" w:lineRule="auto"/>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Satoi, 2000</w:t>
            </w:r>
            <w:r w:rsidR="00546978" w:rsidRPr="009B66A4">
              <w:rPr>
                <w:rFonts w:ascii="Calibri" w:eastAsia="Times New Roman" w:hAnsi="Calibri" w:cs="Calibri"/>
                <w:kern w:val="0"/>
                <w:sz w:val="20"/>
                <w:szCs w:val="20"/>
                <w14:ligatures w14:val="none"/>
              </w:rPr>
              <w:fldChar w:fldCharType="begin"/>
            </w:r>
            <w:r w:rsidR="00546978" w:rsidRPr="009B66A4">
              <w:rPr>
                <w:rFonts w:ascii="Calibri" w:eastAsia="Times New Roman" w:hAnsi="Calibri" w:cs="Calibri"/>
                <w:kern w:val="0"/>
                <w:sz w:val="20"/>
                <w:szCs w:val="20"/>
                <w14:ligatures w14:val="none"/>
              </w:rPr>
              <w:instrText xml:space="preserve"> ADDIN ZOTERO_ITEM CSL_CITATION {"citationID":"bYqPVNhR","properties":{"formattedCitation":"[148]","plainCitation":"[148]","noteIndex":0},"citationItems":[{"id":3516,"uris":["http://zotero.org/users/11896629/items/UJZWNGN9"],"itemData":{"id":3516,"type":"article-journal","abstract":"To clarify the mechanism of brain impairment in Rett syndrome, we measured the cerebrospinal fluid levels of beta-phenylethylamine (PEA) in 17 patients with Rett syndrome. Findings were compared with those obtained in age-matched controls and diseased controls. The cerebrospinal fluid level of PEA was significantly lower in patients with Rett syndrome than in the controls (31% of control values). The alteration in the cerebrospinal fluid level of PEA may reflect dopamine system impairment in Rett syndrome.","container-title":"Annals of Neurology","ISSN":"0364-5134","issue":"6","journalAbbreviation":"Ann Neurol","language":"eng","note":"PMID: 10852546","page":"801-803","source":"PubMed","title":"Decreased cerebrospinal fluid levels of beta-phenylethylamine in patients with Rett syndrome","volume":"47","author":[{"family":"Satoi","given":"M."},{"family":"Matsuishi","given":"T."},{"family":"Yamada","given":"S."},{"family":"Yamashita","given":"Y."},{"family":"Ohtaki","given":"E."},{"family":"Mori","given":"K."},{"family":"Riikonen","given":"R."},{"family":"Kato","given":"H."},{"family":"Percy","given":"A. K."}],"issued":{"date-parts":[["2000",6]]}}}],"schema":"https://github.com/citation-style-language/schema/raw/master/csl-citation.json"} </w:instrText>
            </w:r>
            <w:r w:rsidR="00546978" w:rsidRPr="009B66A4">
              <w:rPr>
                <w:rFonts w:ascii="Calibri" w:eastAsia="Times New Roman" w:hAnsi="Calibri" w:cs="Calibri"/>
                <w:kern w:val="0"/>
                <w:sz w:val="20"/>
                <w:szCs w:val="20"/>
                <w14:ligatures w14:val="none"/>
              </w:rPr>
              <w:fldChar w:fldCharType="separate"/>
            </w:r>
            <w:r w:rsidR="00546978" w:rsidRPr="009B66A4">
              <w:rPr>
                <w:rFonts w:ascii="Calibri" w:hAnsi="Calibri" w:cs="Calibri"/>
                <w:sz w:val="20"/>
                <w:szCs w:val="20"/>
              </w:rPr>
              <w:t>[148]</w:t>
            </w:r>
            <w:r w:rsidR="00546978" w:rsidRPr="009B66A4">
              <w:rPr>
                <w:rFonts w:ascii="Calibri" w:eastAsia="Times New Roman" w:hAnsi="Calibri" w:cs="Calibri"/>
                <w:kern w:val="0"/>
                <w:sz w:val="20"/>
                <w:szCs w:val="20"/>
                <w14:ligatures w14:val="none"/>
              </w:rPr>
              <w:fldChar w:fldCharType="end"/>
            </w:r>
          </w:p>
        </w:tc>
        <w:tc>
          <w:tcPr>
            <w:tcW w:w="1194" w:type="dxa"/>
            <w:noWrap/>
            <w:vAlign w:val="center"/>
            <w:hideMark/>
          </w:tcPr>
          <w:p w14:paraId="71EFB5B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Japan</w:t>
            </w:r>
          </w:p>
        </w:tc>
        <w:tc>
          <w:tcPr>
            <w:tcW w:w="1316" w:type="dxa"/>
            <w:noWrap/>
            <w:vAlign w:val="center"/>
            <w:hideMark/>
          </w:tcPr>
          <w:p w14:paraId="141C33A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Prospective cohort</w:t>
            </w:r>
          </w:p>
        </w:tc>
        <w:tc>
          <w:tcPr>
            <w:tcW w:w="494" w:type="dxa"/>
            <w:noWrap/>
            <w:vAlign w:val="center"/>
            <w:hideMark/>
          </w:tcPr>
          <w:p w14:paraId="18F5A03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550" w:type="dxa"/>
            <w:vAlign w:val="center"/>
            <w:hideMark/>
          </w:tcPr>
          <w:p w14:paraId="220F8FE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w:t>
            </w:r>
          </w:p>
        </w:tc>
        <w:tc>
          <w:tcPr>
            <w:tcW w:w="472" w:type="dxa"/>
            <w:vAlign w:val="center"/>
            <w:hideMark/>
          </w:tcPr>
          <w:p w14:paraId="4A1086C8"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 </w:t>
            </w:r>
          </w:p>
        </w:tc>
        <w:tc>
          <w:tcPr>
            <w:tcW w:w="1394" w:type="dxa"/>
            <w:vAlign w:val="center"/>
            <w:hideMark/>
          </w:tcPr>
          <w:p w14:paraId="770F75C7"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17</w:t>
            </w:r>
          </w:p>
        </w:tc>
        <w:tc>
          <w:tcPr>
            <w:tcW w:w="1682" w:type="dxa"/>
            <w:vAlign w:val="center"/>
            <w:hideMark/>
          </w:tcPr>
          <w:p w14:paraId="27264C4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52.7 months (27.4 months)</w:t>
            </w:r>
          </w:p>
        </w:tc>
        <w:tc>
          <w:tcPr>
            <w:tcW w:w="1394" w:type="dxa"/>
            <w:noWrap/>
            <w:vAlign w:val="center"/>
            <w:hideMark/>
          </w:tcPr>
          <w:p w14:paraId="034A0D4E"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4AED08F5"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394" w:type="dxa"/>
            <w:noWrap/>
            <w:vAlign w:val="center"/>
            <w:hideMark/>
          </w:tcPr>
          <w:p w14:paraId="027D6B83"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c>
          <w:tcPr>
            <w:tcW w:w="1438" w:type="dxa"/>
            <w:noWrap/>
            <w:vAlign w:val="center"/>
            <w:hideMark/>
          </w:tcPr>
          <w:p w14:paraId="2092362A" w14:textId="77777777" w:rsidR="00302A4B" w:rsidRPr="009B66A4" w:rsidRDefault="00302A4B" w:rsidP="00302A4B">
            <w:pPr>
              <w:spacing w:after="0" w:line="240" w:lineRule="auto"/>
              <w:jc w:val="center"/>
              <w:rPr>
                <w:rFonts w:ascii="Calibri" w:eastAsia="Times New Roman" w:hAnsi="Calibri" w:cs="Calibri"/>
                <w:kern w:val="0"/>
                <w:sz w:val="20"/>
                <w:szCs w:val="20"/>
                <w14:ligatures w14:val="none"/>
              </w:rPr>
            </w:pPr>
            <w:r w:rsidRPr="009B66A4">
              <w:rPr>
                <w:rFonts w:ascii="Calibri" w:eastAsia="Times New Roman" w:hAnsi="Calibri" w:cs="Calibri"/>
                <w:kern w:val="0"/>
                <w:sz w:val="20"/>
                <w:szCs w:val="20"/>
                <w14:ligatures w14:val="none"/>
              </w:rPr>
              <w:t>NR</w:t>
            </w:r>
          </w:p>
        </w:tc>
      </w:tr>
    </w:tbl>
    <w:p w14:paraId="3FC78236" w14:textId="1B05CFA8" w:rsidR="006D1BB8" w:rsidRPr="009B66A4" w:rsidRDefault="00871031" w:rsidP="006D1BB8">
      <w:pPr>
        <w:tabs>
          <w:tab w:val="left" w:pos="1590"/>
        </w:tabs>
        <w:rPr>
          <w:rFonts w:ascii="Calibri" w:eastAsia="Times New Roman" w:hAnsi="Calibri" w:cs="Calibri"/>
          <w:color w:val="000000"/>
          <w:kern w:val="0"/>
          <w:sz w:val="20"/>
          <w:szCs w:val="20"/>
          <w14:ligatures w14:val="none"/>
        </w:rPr>
      </w:pPr>
      <w:r w:rsidRPr="009B66A4">
        <w:rPr>
          <w:rFonts w:ascii="Calibri" w:eastAsia="Times New Roman" w:hAnsi="Calibri" w:cs="Calibri"/>
          <w:b/>
          <w:bCs/>
          <w:color w:val="000000"/>
          <w:kern w:val="0"/>
          <w:sz w:val="20"/>
          <w:szCs w:val="20"/>
          <w14:ligatures w14:val="none"/>
        </w:rPr>
        <w:t>Abbreviations:</w:t>
      </w:r>
      <w:r w:rsidRPr="009B66A4">
        <w:rPr>
          <w:rFonts w:ascii="Calibri" w:eastAsia="Times New Roman" w:hAnsi="Calibri" w:cs="Calibri"/>
          <w:color w:val="000000"/>
          <w:kern w:val="0"/>
          <w:sz w:val="20"/>
          <w:szCs w:val="20"/>
          <w14:ligatures w14:val="none"/>
        </w:rPr>
        <w:t xml:space="preserve"> CSS, Clinical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everity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cale; RSBQ, Rett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yndrome </w:t>
      </w:r>
      <w:r w:rsidR="00A3759F" w:rsidRPr="009B66A4">
        <w:rPr>
          <w:rFonts w:ascii="Calibri" w:eastAsia="Times New Roman" w:hAnsi="Calibri" w:cs="Calibri"/>
          <w:color w:val="000000"/>
          <w:kern w:val="0"/>
          <w:sz w:val="20"/>
          <w:szCs w:val="20"/>
          <w14:ligatures w14:val="none"/>
        </w:rPr>
        <w:t>b</w:t>
      </w:r>
      <w:r w:rsidRPr="009B66A4">
        <w:rPr>
          <w:rFonts w:ascii="Calibri" w:eastAsia="Times New Roman" w:hAnsi="Calibri" w:cs="Calibri"/>
          <w:color w:val="000000"/>
          <w:kern w:val="0"/>
          <w:sz w:val="20"/>
          <w:szCs w:val="20"/>
          <w14:ligatures w14:val="none"/>
        </w:rPr>
        <w:t xml:space="preserve">ehaviour </w:t>
      </w:r>
      <w:r w:rsidR="00A3759F" w:rsidRPr="009B66A4">
        <w:rPr>
          <w:rFonts w:ascii="Calibri" w:eastAsia="Times New Roman" w:hAnsi="Calibri" w:cs="Calibri"/>
          <w:color w:val="000000"/>
          <w:kern w:val="0"/>
          <w:sz w:val="20"/>
          <w:szCs w:val="20"/>
          <w14:ligatures w14:val="none"/>
        </w:rPr>
        <w:t>q</w:t>
      </w:r>
      <w:r w:rsidRPr="009B66A4">
        <w:rPr>
          <w:rFonts w:ascii="Calibri" w:eastAsia="Times New Roman" w:hAnsi="Calibri" w:cs="Calibri"/>
          <w:color w:val="000000"/>
          <w:kern w:val="0"/>
          <w:sz w:val="20"/>
          <w:szCs w:val="20"/>
          <w14:ligatures w14:val="none"/>
        </w:rPr>
        <w:t xml:space="preserve">uestionnaire; RSGMS, Rett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yndrome </w:t>
      </w:r>
      <w:r w:rsidR="00A3759F" w:rsidRPr="009B66A4">
        <w:rPr>
          <w:rFonts w:ascii="Calibri" w:eastAsia="Times New Roman" w:hAnsi="Calibri" w:cs="Calibri"/>
          <w:color w:val="000000"/>
          <w:kern w:val="0"/>
          <w:sz w:val="20"/>
          <w:szCs w:val="20"/>
          <w14:ligatures w14:val="none"/>
        </w:rPr>
        <w:t>g</w:t>
      </w:r>
      <w:r w:rsidRPr="009B66A4">
        <w:rPr>
          <w:rFonts w:ascii="Calibri" w:eastAsia="Times New Roman" w:hAnsi="Calibri" w:cs="Calibri"/>
          <w:color w:val="000000"/>
          <w:kern w:val="0"/>
          <w:sz w:val="20"/>
          <w:szCs w:val="20"/>
          <w14:ligatures w14:val="none"/>
        </w:rPr>
        <w:t xml:space="preserve">ross </w:t>
      </w:r>
      <w:r w:rsidR="00A3759F" w:rsidRPr="009B66A4">
        <w:rPr>
          <w:rFonts w:ascii="Calibri" w:eastAsia="Times New Roman" w:hAnsi="Calibri" w:cs="Calibri"/>
          <w:color w:val="000000"/>
          <w:kern w:val="0"/>
          <w:sz w:val="20"/>
          <w:szCs w:val="20"/>
          <w14:ligatures w14:val="none"/>
        </w:rPr>
        <w:t>m</w:t>
      </w:r>
      <w:r w:rsidRPr="009B66A4">
        <w:rPr>
          <w:rFonts w:ascii="Calibri" w:eastAsia="Times New Roman" w:hAnsi="Calibri" w:cs="Calibri"/>
          <w:color w:val="000000"/>
          <w:kern w:val="0"/>
          <w:sz w:val="20"/>
          <w:szCs w:val="20"/>
          <w14:ligatures w14:val="none"/>
        </w:rPr>
        <w:t xml:space="preserve">otor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cale; RSSS, Rett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yndrome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everity </w:t>
      </w:r>
      <w:r w:rsidR="00A3759F" w:rsidRPr="009B66A4">
        <w:rPr>
          <w:rFonts w:ascii="Calibri" w:eastAsia="Times New Roman" w:hAnsi="Calibri" w:cs="Calibri"/>
          <w:color w:val="000000"/>
          <w:kern w:val="0"/>
          <w:sz w:val="20"/>
          <w:szCs w:val="20"/>
          <w14:ligatures w14:val="none"/>
        </w:rPr>
        <w:t>s</w:t>
      </w:r>
      <w:r w:rsidRPr="009B66A4">
        <w:rPr>
          <w:rFonts w:ascii="Calibri" w:eastAsia="Times New Roman" w:hAnsi="Calibri" w:cs="Calibri"/>
          <w:color w:val="000000"/>
          <w:kern w:val="0"/>
          <w:sz w:val="20"/>
          <w:szCs w:val="20"/>
          <w14:ligatures w14:val="none"/>
        </w:rPr>
        <w:t xml:space="preserve">cale; UK, United Kingdom; USA, United States </w:t>
      </w:r>
      <w:r w:rsidR="00A3759F" w:rsidRPr="009B66A4">
        <w:rPr>
          <w:rFonts w:ascii="Calibri" w:eastAsia="Times New Roman" w:hAnsi="Calibri" w:cs="Calibri"/>
          <w:color w:val="000000"/>
          <w:kern w:val="0"/>
          <w:sz w:val="20"/>
          <w:szCs w:val="20"/>
          <w14:ligatures w14:val="none"/>
        </w:rPr>
        <w:t>of America</w:t>
      </w:r>
      <w:r w:rsidRPr="009B66A4">
        <w:rPr>
          <w:rFonts w:ascii="Calibri" w:eastAsia="Times New Roman" w:hAnsi="Calibri" w:cs="Calibri"/>
          <w:color w:val="000000"/>
          <w:kern w:val="0"/>
          <w:sz w:val="20"/>
          <w:szCs w:val="20"/>
          <w14:ligatures w14:val="none"/>
        </w:rPr>
        <w:t xml:space="preserve">; NR, </w:t>
      </w:r>
      <w:r w:rsidR="00A3759F" w:rsidRPr="009B66A4">
        <w:rPr>
          <w:rFonts w:ascii="Calibri" w:eastAsia="Times New Roman" w:hAnsi="Calibri" w:cs="Calibri"/>
          <w:color w:val="000000"/>
          <w:kern w:val="0"/>
          <w:sz w:val="20"/>
          <w:szCs w:val="20"/>
          <w14:ligatures w14:val="none"/>
        </w:rPr>
        <w:t>N</w:t>
      </w:r>
      <w:r w:rsidRPr="009B66A4">
        <w:rPr>
          <w:rFonts w:ascii="Calibri" w:eastAsia="Times New Roman" w:hAnsi="Calibri" w:cs="Calibri"/>
          <w:color w:val="000000"/>
          <w:kern w:val="0"/>
          <w:sz w:val="20"/>
          <w:szCs w:val="20"/>
          <w14:ligatures w14:val="none"/>
        </w:rPr>
        <w:t xml:space="preserve">ot reported; CT, </w:t>
      </w:r>
      <w:r w:rsidR="00A3759F" w:rsidRPr="009B66A4">
        <w:rPr>
          <w:rFonts w:ascii="Calibri" w:eastAsia="Times New Roman" w:hAnsi="Calibri" w:cs="Calibri"/>
          <w:color w:val="000000"/>
          <w:kern w:val="0"/>
          <w:sz w:val="20"/>
          <w:szCs w:val="20"/>
          <w14:ligatures w14:val="none"/>
        </w:rPr>
        <w:t>C</w:t>
      </w:r>
      <w:r w:rsidRPr="009B66A4">
        <w:rPr>
          <w:rFonts w:ascii="Calibri" w:eastAsia="Times New Roman" w:hAnsi="Calibri" w:cs="Calibri"/>
          <w:color w:val="000000"/>
          <w:kern w:val="0"/>
          <w:sz w:val="20"/>
          <w:szCs w:val="20"/>
          <w14:ligatures w14:val="none"/>
        </w:rPr>
        <w:t>oncomitant</w:t>
      </w:r>
      <w:r w:rsidR="00A3759F" w:rsidRPr="009B66A4">
        <w:rPr>
          <w:rFonts w:ascii="Calibri" w:eastAsia="Times New Roman" w:hAnsi="Calibri" w:cs="Calibri"/>
          <w:color w:val="000000"/>
          <w:kern w:val="0"/>
          <w:sz w:val="20"/>
          <w:szCs w:val="20"/>
          <w14:ligatures w14:val="none"/>
        </w:rPr>
        <w:t xml:space="preserve"> therapies</w:t>
      </w:r>
      <w:r w:rsidRPr="009B66A4">
        <w:rPr>
          <w:rFonts w:ascii="Calibri" w:eastAsia="Times New Roman" w:hAnsi="Calibri" w:cs="Calibri"/>
          <w:color w:val="000000"/>
          <w:kern w:val="0"/>
          <w:sz w:val="20"/>
          <w:szCs w:val="20"/>
          <w14:ligatures w14:val="none"/>
        </w:rPr>
        <w:t>; CM, Comorbidit</w:t>
      </w:r>
      <w:r w:rsidR="00A3759F" w:rsidRPr="009B66A4">
        <w:rPr>
          <w:rFonts w:ascii="Calibri" w:eastAsia="Times New Roman" w:hAnsi="Calibri" w:cs="Calibri"/>
          <w:color w:val="000000"/>
          <w:kern w:val="0"/>
          <w:sz w:val="20"/>
          <w:szCs w:val="20"/>
          <w14:ligatures w14:val="none"/>
        </w:rPr>
        <w:t>ies</w:t>
      </w:r>
      <w:r w:rsidR="006D1BB8" w:rsidRPr="009B66A4">
        <w:rPr>
          <w:rFonts w:ascii="Calibri" w:eastAsia="Times New Roman" w:hAnsi="Calibri" w:cs="Calibri"/>
          <w:color w:val="000000"/>
          <w:kern w:val="0"/>
          <w:sz w:val="20"/>
          <w:szCs w:val="20"/>
          <w14:ligatures w14:val="none"/>
        </w:rPr>
        <w:t xml:space="preserve">; SU, </w:t>
      </w:r>
      <w:r w:rsidR="00A3759F" w:rsidRPr="009B66A4">
        <w:rPr>
          <w:rFonts w:ascii="Calibri" w:eastAsia="Times New Roman" w:hAnsi="Calibri" w:cs="Calibri"/>
          <w:color w:val="000000"/>
          <w:kern w:val="0"/>
          <w:sz w:val="20"/>
          <w:szCs w:val="20"/>
          <w14:ligatures w14:val="none"/>
        </w:rPr>
        <w:t>S</w:t>
      </w:r>
      <w:r w:rsidR="006D1BB8" w:rsidRPr="009B66A4">
        <w:rPr>
          <w:rFonts w:ascii="Calibri" w:eastAsia="Times New Roman" w:hAnsi="Calibri" w:cs="Calibri"/>
          <w:color w:val="000000"/>
          <w:kern w:val="0"/>
          <w:sz w:val="20"/>
          <w:szCs w:val="20"/>
          <w14:ligatures w14:val="none"/>
        </w:rPr>
        <w:t>ervice utilization.</w:t>
      </w:r>
    </w:p>
    <w:p w14:paraId="05D550FF" w14:textId="77777777" w:rsidR="00871031" w:rsidRPr="009B66A4" w:rsidRDefault="006D1BB8" w:rsidP="00871031">
      <w:pPr>
        <w:tabs>
          <w:tab w:val="left" w:pos="1590"/>
        </w:tabs>
        <w:rPr>
          <w:rFonts w:ascii="Calibri" w:eastAsia="Times New Roman" w:hAnsi="Calibri" w:cs="Calibri"/>
          <w:color w:val="000000"/>
          <w:kern w:val="0"/>
          <w:sz w:val="20"/>
          <w:szCs w:val="20"/>
          <w14:ligatures w14:val="none"/>
        </w:rPr>
      </w:pPr>
      <w:r w:rsidRPr="009B66A4">
        <w:rPr>
          <w:rFonts w:ascii="Calibri" w:eastAsia="Times New Roman" w:hAnsi="Calibri" w:cs="Calibri"/>
          <w:color w:val="000000"/>
          <w:kern w:val="0"/>
          <w:sz w:val="20"/>
          <w:szCs w:val="20"/>
          <w14:ligatures w14:val="none"/>
        </w:rPr>
        <w:t>Note: Age is presented as years, mean (SD) and specified when in other format or unit</w:t>
      </w:r>
      <w:r w:rsidR="00CC70B1" w:rsidRPr="009B66A4">
        <w:rPr>
          <w:rFonts w:ascii="Calibri" w:eastAsia="Times New Roman" w:hAnsi="Calibri" w:cs="Calibri"/>
          <w:color w:val="000000"/>
          <w:kern w:val="0"/>
          <w:sz w:val="20"/>
          <w:szCs w:val="20"/>
          <w14:ligatures w14:val="none"/>
        </w:rPr>
        <w:t>s.</w:t>
      </w:r>
    </w:p>
    <w:p w14:paraId="0B42BFDB" w14:textId="77777777" w:rsidR="00A3759F" w:rsidRPr="009B66A4" w:rsidRDefault="00A3759F">
      <w:pPr>
        <w:rPr>
          <w:rFonts w:ascii="Calibri" w:eastAsia="Times New Roman" w:hAnsi="Calibri" w:cs="Calibri"/>
          <w:color w:val="000000"/>
          <w:kern w:val="0"/>
          <w:sz w:val="20"/>
          <w:szCs w:val="20"/>
          <w14:ligatures w14:val="none"/>
        </w:rPr>
      </w:pPr>
      <w:r w:rsidRPr="009B66A4">
        <w:rPr>
          <w:rFonts w:ascii="Calibri" w:eastAsia="Times New Roman" w:hAnsi="Calibri" w:cs="Calibri"/>
          <w:color w:val="000000"/>
          <w:kern w:val="0"/>
          <w:sz w:val="20"/>
          <w:szCs w:val="20"/>
          <w14:ligatures w14:val="none"/>
        </w:rPr>
        <w:br w:type="page"/>
      </w:r>
    </w:p>
    <w:p w14:paraId="0DCBB01F" w14:textId="297429E1" w:rsidR="00DE07F1" w:rsidRPr="009B66A4" w:rsidRDefault="0071466C">
      <w:pPr>
        <w:rPr>
          <w:rFonts w:ascii="Calibri" w:eastAsia="Times New Roman" w:hAnsi="Calibri" w:cs="Calibri"/>
          <w:b/>
          <w:bCs/>
          <w:color w:val="000000"/>
          <w:kern w:val="0"/>
          <w:sz w:val="20"/>
          <w:szCs w:val="20"/>
          <w14:ligatures w14:val="none"/>
        </w:rPr>
      </w:pPr>
      <w:r w:rsidRPr="009B66A4">
        <w:rPr>
          <w:rFonts w:ascii="Calibri" w:eastAsia="Times New Roman" w:hAnsi="Calibri" w:cs="Calibri"/>
          <w:b/>
          <w:bCs/>
          <w:color w:val="000000"/>
          <w:kern w:val="0"/>
          <w:sz w:val="20"/>
          <w:szCs w:val="20"/>
          <w14:ligatures w14:val="none"/>
        </w:rPr>
        <w:lastRenderedPageBreak/>
        <w:t>Table S2</w:t>
      </w:r>
      <w:r w:rsidR="00DE07F1" w:rsidRPr="009B66A4">
        <w:rPr>
          <w:rFonts w:ascii="Calibri" w:eastAsia="Times New Roman" w:hAnsi="Calibri" w:cs="Calibri"/>
          <w:b/>
          <w:bCs/>
          <w:color w:val="000000"/>
          <w:kern w:val="0"/>
          <w:sz w:val="20"/>
          <w:szCs w:val="20"/>
          <w14:ligatures w14:val="none"/>
        </w:rPr>
        <w:t>: PRISMA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6"/>
        <w:gridCol w:w="939"/>
        <w:gridCol w:w="3683"/>
        <w:gridCol w:w="7470"/>
      </w:tblGrid>
      <w:tr w:rsidR="00DE07F1" w:rsidRPr="009B66A4" w14:paraId="130C0DC2" w14:textId="77777777" w:rsidTr="00DE07F1">
        <w:trPr>
          <w:tblHeader/>
        </w:trPr>
        <w:tc>
          <w:tcPr>
            <w:tcW w:w="801" w:type="pct"/>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vAlign w:val="center"/>
          </w:tcPr>
          <w:p w14:paraId="5A305207"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b/>
                <w:bCs/>
                <w:color w:val="FFFFFF"/>
                <w:sz w:val="20"/>
                <w:szCs w:val="20"/>
              </w:rPr>
              <w:t>Section and Topic</w:t>
            </w:r>
          </w:p>
        </w:tc>
        <w:tc>
          <w:tcPr>
            <w:tcW w:w="326" w:type="pct"/>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vAlign w:val="center"/>
          </w:tcPr>
          <w:p w14:paraId="0AC7BC4D"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b/>
                <w:bCs/>
                <w:color w:val="FFFFFF"/>
                <w:sz w:val="20"/>
                <w:szCs w:val="20"/>
              </w:rPr>
              <w:t>Item #</w:t>
            </w:r>
          </w:p>
        </w:tc>
        <w:tc>
          <w:tcPr>
            <w:tcW w:w="1279" w:type="pct"/>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vAlign w:val="center"/>
          </w:tcPr>
          <w:p w14:paraId="2B8F7CB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b/>
                <w:bCs/>
                <w:color w:val="FFFFFF"/>
                <w:sz w:val="20"/>
                <w:szCs w:val="20"/>
              </w:rPr>
              <w:t>Checklist Item</w:t>
            </w:r>
          </w:p>
        </w:tc>
        <w:tc>
          <w:tcPr>
            <w:tcW w:w="2594" w:type="pct"/>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vAlign w:val="center"/>
          </w:tcPr>
          <w:p w14:paraId="3AB0286F"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b/>
                <w:bCs/>
                <w:color w:val="FFFFFF"/>
                <w:sz w:val="20"/>
                <w:szCs w:val="20"/>
              </w:rPr>
              <w:t>Location in Manuscript</w:t>
            </w:r>
          </w:p>
        </w:tc>
      </w:tr>
      <w:tr w:rsidR="00DE07F1" w:rsidRPr="009B66A4" w14:paraId="39E1C5DB"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0788060"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TITLE</w:t>
            </w:r>
          </w:p>
        </w:tc>
      </w:tr>
      <w:tr w:rsidR="00DE07F1" w:rsidRPr="009B66A4" w14:paraId="760BF101"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5703A60"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Title</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D7C4A38"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381BEA"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Identify the report as a systematic review.</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93A41D"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Title page. Title: "A Global Literature Review of Comorbidities and Concomitant Supportive Medications among Individuals with Rett Syndrome." Note: this is a structured global literature review/evidence synthesis; the study design is accurately reflected in the title.</w:t>
            </w:r>
          </w:p>
        </w:tc>
      </w:tr>
      <w:tr w:rsidR="00DE07F1" w:rsidRPr="009B66A4" w14:paraId="32A98A1D"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4329B8F6"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ABSTRACT</w:t>
            </w:r>
          </w:p>
        </w:tc>
      </w:tr>
      <w:tr w:rsidR="00DE07F1" w:rsidRPr="009B66A4" w14:paraId="595CAF82"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D243EB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Abstract</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286FDEC"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C821D8"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See the PRISMA 2020 for Abstracts checklist.</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C756E0"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Abstract (p. 1) – structured with Aims, Methods, Results, and Conclusions. Reports databases (PubMed, Embase, Cochrane), search period (January 2000–July 2024), number of included studies (n = 148), and key quantitative findings.</w:t>
            </w:r>
          </w:p>
        </w:tc>
      </w:tr>
      <w:tr w:rsidR="00DE07F1" w:rsidRPr="009B66A4" w14:paraId="6AA9A2BE"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3C5E9DD"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INTRODUCTION</w:t>
            </w:r>
          </w:p>
        </w:tc>
      </w:tr>
      <w:tr w:rsidR="00DE07F1" w:rsidRPr="009B66A4" w14:paraId="4D7E657C"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8D53C9A"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Rationale</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778290CC"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3</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F9CC6E"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the rationale for the review in the context of existing knowledge.</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248E93"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Introduction, paragraphs 2–3. Rationale explains that prior syntheses reported comorbidity and medication data in isolation; this review consolidates global evidence to provide clear prevalence ranges for clinical guideline development, resource allocation, and evidence-based care pathways.</w:t>
            </w:r>
          </w:p>
        </w:tc>
      </w:tr>
      <w:tr w:rsidR="00DE07F1" w:rsidRPr="009B66A4" w14:paraId="3E79F094"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50815D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Objectives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223AEA78"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4</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941BFC1"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Provide an explicit statement of the objective(s) or question(s) the review addresses.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6637DC"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Abstract (Aims) and Introduction, paragraph 3. Objective: to synthesize global evidence on the multisystem clinical burden of RTT, integrating comorbidity prevalence and concomitant medication use to inform proactive, multidisciplinary care.</w:t>
            </w:r>
          </w:p>
        </w:tc>
      </w:tr>
      <w:tr w:rsidR="00DE07F1" w:rsidRPr="009B66A4" w14:paraId="4B9BE096"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70F28C4"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METHODS</w:t>
            </w:r>
          </w:p>
        </w:tc>
      </w:tr>
      <w:tr w:rsidR="00DE07F1" w:rsidRPr="009B66A4" w14:paraId="4EF7C7CD"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603BE3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lastRenderedPageBreak/>
              <w:t>Eligibility criteria</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8A5617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5</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B997E2F"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Specify the inclusion and exclusion criteria for the review and how studies were grouped for the syntheses.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8A8407"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2.1. PICOST framework applied. Inclusion: individuals with RTT (any age and sex), extractable prevalence or clinical impact data, clinical trials/observational studies/registries/case series (n &gt; 10), January 2000–July 2024. Exclusion: non-English publications, single case reports, reviews, and commentaries. Studies grouped by 17 comorbidity categories and concomitant medication classes.</w:t>
            </w:r>
          </w:p>
        </w:tc>
      </w:tr>
      <w:tr w:rsidR="00DE07F1" w:rsidRPr="009B66A4" w14:paraId="2ABC48EF"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2B8D35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Information sources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790C8EF"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6</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795D3A"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Specify all databases, registers, websites, organisations, reference lists and other sources searched or consulted to identify studies. Specify the date when each source was last searched or consulted.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FA6333"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2.1. PubMed, Embase, and Cochrane searched from January 1, 2000 to July 31, 2024. Gray literature sources also consulted. Key clinical guidelines and therapeutic reviews used to supplement search and link comorbidities to outcomes.</w:t>
            </w:r>
          </w:p>
        </w:tc>
      </w:tr>
      <w:tr w:rsidR="00DE07F1" w:rsidRPr="009B66A4" w14:paraId="430B8961"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446D583"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Search strategy</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7C79D083"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7</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412E32"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the full search strategies for all databases, registers and websites, including any filters and limits used.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9610B4"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2.1. Search keywords described including RTT-related terms (e.g., "Rett syndrome"), comorbidity descriptors (e.g., "epilepsy," "scoliosis," "gastroesophageal reflux"), and medication terms. Full keyword lists are reported in the Methods section; note that a separate supplementary search strategy table was not provided.</w:t>
            </w:r>
          </w:p>
        </w:tc>
      </w:tr>
      <w:tr w:rsidR="00DE07F1" w:rsidRPr="009B66A4" w14:paraId="564B3BE7"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CA22CB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Selection process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49A90E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8</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B66DCD"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9F1090"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2.1. Two investigators independently screened titles and abstracts, evaluated full texts, and resolved any disagreements through discussion. No automation tools were used.</w:t>
            </w:r>
          </w:p>
        </w:tc>
      </w:tr>
      <w:tr w:rsidR="00DE07F1" w:rsidRPr="009B66A4" w14:paraId="2C2F4BFE"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F45F3B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Data collection process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9A3BBC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9</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678447"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 xml:space="preserve">Specify the methods used to collect data from reports, including how many reviewers collected data from each report, whether they worked </w:t>
            </w:r>
            <w:r w:rsidRPr="009B66A4">
              <w:rPr>
                <w:rFonts w:ascii="Calibri" w:eastAsia="Arial" w:hAnsi="Calibri" w:cs="Calibri"/>
                <w:sz w:val="20"/>
                <w:szCs w:val="20"/>
              </w:rPr>
              <w:lastRenderedPageBreak/>
              <w:t>independently, any processes for obtaining or confirming data from study investigators, and if applicable, details of automation tools used in the process.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4A8079"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lastRenderedPageBreak/>
              <w:t>Methods, Section 2.2. Data extracted using standardized forms by two investigators independently. No automation tools used. No investigator outreach for missing data is reported.</w:t>
            </w:r>
          </w:p>
        </w:tc>
      </w:tr>
      <w:tr w:rsidR="00DE07F1" w:rsidRPr="009B66A4" w14:paraId="2608A28F"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D83254B"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Data items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1B3A75CE"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10a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C6253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8EB6D3"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2.2. Outcomes sought: prevalence/clinical impact data for 6 core diagnostic features (hand stereotypies, loss of speech, intellectual disability, microcephaly, inability to walk, breathholding) and 17 comorbidity categories (neurological, musculoskeletal, gastrointestinal, behavioral, respiratory, endocrinological, orthopedic, sleep, oral, etc.), plus concomitant medication use rates. All compatible prevalence estimates across measures and time points were extracted.</w:t>
            </w:r>
          </w:p>
        </w:tc>
      </w:tr>
      <w:tr w:rsidR="00DE07F1" w:rsidRPr="009B66A4" w14:paraId="31C7E397"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450FCA0"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21F85434"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10b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C30CB5"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List and define all other variables for which data were sought (e.g. participant and intervention characteristics, funding sources). Describe any assumptions made about any missing or unclear information.</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CB4FFA"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2.2. Additional variables: publication year, country, study design, sample size, age range, sex distribution, and MECP2 mutation status. These are tabulated in Table 1. Missing or unreported variables were noted as not reported.</w:t>
            </w:r>
          </w:p>
        </w:tc>
      </w:tr>
      <w:tr w:rsidR="00DE07F1" w:rsidRPr="009B66A4" w14:paraId="311D9895"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C72F36B"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Study risk of bias assessment</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0F1285D"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11</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A63F1D"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AD038BD"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Not formally assessed. Given the heterogeneity of study designs (cross-sectional, retrospective cohort, registries, clinical trials), a single validated risk-of-bias tool was not applied. Two investigators independently screened and extracted data. Methodological limitations (e.g., small sample sizes, variable diagnostic criteria, self-reported data) are acknowledged narratively in the Discussion (Section 4.1, Limitations).</w:t>
            </w:r>
          </w:p>
        </w:tc>
      </w:tr>
      <w:tr w:rsidR="00DE07F1" w:rsidRPr="009B66A4" w14:paraId="5D0BAA6E"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7735183"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lastRenderedPageBreak/>
              <w:t>Effect measures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7E0AF011"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12</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A8C872"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Specify for each outcome the effect measure(s) (e.g. risk ratio, mean difference) used in the synthesis or presentation of results.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A1E7216"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2.2 and throughout Results. Effect measure: prevalence/utilization rate (proportion or percentage of patients). No comparative effect measures (e.g., risk ratios, mean differences) were calculated as no meta-analysis was performed.</w:t>
            </w:r>
          </w:p>
        </w:tc>
      </w:tr>
      <w:tr w:rsidR="00DE07F1" w:rsidRPr="009B66A4" w14:paraId="3C4550FC"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3962224"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Synthesis methods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1A8934C"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27AABE"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the processes used to decide which studies were eligible for each synthesis (e.g. tabulating the study intervention characteristics and comparing against the planned groups for each synthesis (item #5)).</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CE1696"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2.3. All 148 included studies were eligible for narrative synthesis. Studies grouped by pre-specified comorbidity domain and concomitant medication class as defined by the PICOST framework. Study characteristics tabulated in Table 1.</w:t>
            </w:r>
          </w:p>
        </w:tc>
      </w:tr>
      <w:tr w:rsidR="00DE07F1" w:rsidRPr="009B66A4" w14:paraId="0594E562"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A409AE1"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2B828095"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8B9B9C"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required to prepare the data for presentation or synthesis, such as handling of missing summary statistics, or data conversions.</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2EDD9474" w14:textId="77777777"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 No data conversions or imputation were performed. Prevalence estimates were extracted and reported as provided in original studies.</w:t>
            </w:r>
          </w:p>
        </w:tc>
      </w:tr>
      <w:tr w:rsidR="00DE07F1" w:rsidRPr="009B66A4" w14:paraId="46147C97"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C309FC4"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306E00C4"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13c</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201B86"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used to tabulate or visually display results of individual studies and syntheses.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CC9F9F"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2.3, and Results. Individual study characteristics tabulated in Table 1 (study design, country, sample size, age, MECP2 status). Comorbidity-medication relationships displayed in Table 2 (Comorbidity-Concomitant Medication Matrix). Evidence map constructed (Figure 2) and therapeutic pathways visualized (Figure 3).</w:t>
            </w:r>
          </w:p>
        </w:tc>
      </w:tr>
      <w:tr w:rsidR="00DE07F1" w:rsidRPr="009B66A4" w14:paraId="2A2FF3FA"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AFC8101"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3EDB62A"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13d</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7248F1"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651DAC"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2.3. Narrative synthesis used due to heterogeneity across study designs, populations, and outcome reporting. Evidence mapping techniques employed to complement descriptive synthesis and visualize cross-domain relationships. Meta-analysis was not performed.</w:t>
            </w:r>
          </w:p>
        </w:tc>
      </w:tr>
      <w:tr w:rsidR="00DE07F1" w:rsidRPr="009B66A4" w14:paraId="174B1576"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CAF82E8"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43DC3E4"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13e</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90D1DB"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used to explore possible causes of heterogeneity among study results (e.g. subgroup analysis, meta-regression).</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ECF71BD"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Methods, Section 2.3 and Results. Heterogeneity explored descriptively through stratification by age group (pediatric &lt;18 years vs. adult ≥18 years) and, where available, by MECP2 mutation type. No formal meta-regression or quantitative subgroup analysis performed.</w:t>
            </w:r>
          </w:p>
        </w:tc>
      </w:tr>
      <w:tr w:rsidR="00DE07F1" w:rsidRPr="009B66A4" w14:paraId="39167A82"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6831361"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D8B3CF7"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13f</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AEA992"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sensitivity analyses conducted to assess robustness of the synthesized results.</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64AC17B6" w14:textId="77777777"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 No meta-analysis was performed; therefore, formal sensitivity analyses were not conducted.</w:t>
            </w:r>
          </w:p>
        </w:tc>
      </w:tr>
      <w:tr w:rsidR="00DE07F1" w:rsidRPr="009B66A4" w14:paraId="4E982462"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E669B74"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Reporting bias assessment</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31667CE5"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14</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3D2292B"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used to assess risk of bias due to missing results in a synthesis (arising from reporting biases).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823780"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Not formally assessed. No funnel plots or statistical tests for reporting bias were conducted given the descriptive nature of the synthesis. Potential underreporting of comorbidities not actively assessed in individual studies, and the English-language restriction, are acknowledged as limitations in the Discussion (Section 4.1).</w:t>
            </w:r>
          </w:p>
        </w:tc>
      </w:tr>
      <w:tr w:rsidR="00DE07F1" w:rsidRPr="009B66A4" w14:paraId="56D91228"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DB8993F"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Certainty assessment</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DDBD0F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15</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EC6DB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any methods used to assess certainty (or confidence) in the body of evidence for an outcome.</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3A0B88"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Not formally assessed. A GRADE or equivalent certainty-of-evidence assessment was not performed. Limitations of the evidence base (heterogeneous study designs, variable sample sizes, lack of age-stratified data) are discussed narratively in the Discussion (Section 4.1).</w:t>
            </w:r>
          </w:p>
        </w:tc>
      </w:tr>
      <w:tr w:rsidR="00DE07F1" w:rsidRPr="009B66A4" w14:paraId="213D7FD6"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09A79BF"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RESULTS</w:t>
            </w:r>
          </w:p>
        </w:tc>
      </w:tr>
      <w:tr w:rsidR="00DE07F1" w:rsidRPr="009B66A4" w14:paraId="5B7903B6"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F5DFA5A"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Study selection</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35A1EB8"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16a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595263"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the results of the search and selection process, from the number of records identified in the search to the number of studies included in the review, ideally using a flow diagram.</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BA55C3"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 3.1 and Figure 1 (PRISMA flow diagram). Of 6,253 records screened, 148 studies met inclusion criteria spanning 24 countries and participants aged 7 months–37 years.</w:t>
            </w:r>
          </w:p>
        </w:tc>
      </w:tr>
      <w:tr w:rsidR="00DE07F1" w:rsidRPr="009B66A4" w14:paraId="33094312"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C905035"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761DB18"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16b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01EF964"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 xml:space="preserve">Cite studies that might appear to meet the inclusion criteria, but which were </w:t>
            </w:r>
            <w:r w:rsidRPr="009B66A4">
              <w:rPr>
                <w:rFonts w:ascii="Calibri" w:eastAsia="Arial" w:hAnsi="Calibri" w:cs="Calibri"/>
                <w:sz w:val="20"/>
                <w:szCs w:val="20"/>
              </w:rPr>
              <w:lastRenderedPageBreak/>
              <w:t>excluded, and explain why they were excluded.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524AB8"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lastRenderedPageBreak/>
              <w:t xml:space="preserve">A formal list of excluded full-text studies with reasons is not separately presented in the manuscript. General exclusion criteria are specified in Methods (Section 2.1): non-English </w:t>
            </w:r>
            <w:r w:rsidRPr="009B66A4">
              <w:rPr>
                <w:rFonts w:ascii="Calibri" w:eastAsia="Arial" w:hAnsi="Calibri" w:cs="Calibri"/>
                <w:color w:val="1A1A1A"/>
                <w:sz w:val="20"/>
                <w:szCs w:val="20"/>
              </w:rPr>
              <w:lastRenderedPageBreak/>
              <w:t>articles, case reports (n ≤ 10), reviews, and commentaries. Individual exclusion decisions are not cited.</w:t>
            </w:r>
          </w:p>
        </w:tc>
      </w:tr>
      <w:tr w:rsidR="00DE07F1" w:rsidRPr="009B66A4" w14:paraId="06C9CE86"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55ED54C"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lastRenderedPageBreak/>
              <w:t>Study characteristics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22296A3A"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17</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DCED97"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Cite each included study and present its characteristics.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B938E61"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 3.1 and Table 1. Characteristics of all 148 included studies presented: study design, geographic distribution, patient demographics (age, sex), MECP2 mutation status, and outcome domains reported. A comprehensive citation list is provided in Supplementary Table S1.</w:t>
            </w:r>
          </w:p>
        </w:tc>
      </w:tr>
      <w:tr w:rsidR="00DE07F1" w:rsidRPr="009B66A4" w14:paraId="35F5C9AA"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7048F66"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Risk of bias in studies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4FDEFAE"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18</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E0C5D2"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assessments of risk of bias for each included study.</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11DA70"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Not formally presented for individual studies (see Item 11). Methodological limitations are summarized narratively in the Discussion (Section 4.1).</w:t>
            </w:r>
          </w:p>
        </w:tc>
      </w:tr>
      <w:tr w:rsidR="00DE07F1" w:rsidRPr="009B66A4" w14:paraId="12DDD46D"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1464378"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Results of individual studies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F971BB9"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19</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0F6CD7"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For all outcomes, present, for each study: (a) summary statistics for each group (where appropriate) and (b) an effect estimate and its precision (e.g. confidence/credible interval), ideally using structured tables or plots.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1CF257C"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Sections 3.2–3.4. Prevalence rates reported for each comorbidity domain and medication class, with ranges across studies (e.g., epilepsy 15.0%–91.0%; scoliosis 8.9%–100%; constipation 16.0%–82.8%; GERD 15.8%–100.0%). No confidence intervals calculated as no meta-analysis was performed.</w:t>
            </w:r>
          </w:p>
        </w:tc>
      </w:tr>
      <w:tr w:rsidR="00DE07F1" w:rsidRPr="009B66A4" w14:paraId="4F5AF179"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32B0CEC"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Results of syntheses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059BA3D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20a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E90403"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For each synthesis, briefly summarise the characteristics and risk of bias among contributing studies.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4BB492"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 3.1 and within each comorbidity subsection (Sections 3.3.1–3.3.9 and 3.4). Contributing study characteristics summarized in Table 1. Risk of bias not formally assessed (see Item 11).</w:t>
            </w:r>
          </w:p>
        </w:tc>
      </w:tr>
      <w:tr w:rsidR="00DE07F1" w:rsidRPr="009B66A4" w14:paraId="6986CFE4"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EEE7DC7"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E5C3EC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20b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3E1C331"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70A19A6"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Sections 3.3 and 3.4. Reported as ranges of prevalence across studies (e.g., antiepileptic monotherapy 14.3%–33.0%; melatonin use 7.7%–30.0%; PPI use 37.0%–61.0%; laxative use 23.0%–70.0%). No pooled summary estimates or heterogeneity statistics calculated as meta-analysis was not performed.</w:t>
            </w:r>
          </w:p>
        </w:tc>
      </w:tr>
      <w:tr w:rsidR="00DE07F1" w:rsidRPr="009B66A4" w14:paraId="01B3ED38"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E24ED1"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BF6A4D5"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20c</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01E516D"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results of all investigations of possible causes of heterogeneity among study results.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6269877"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Results, Sections 3.2–3.4 and Discussion. Variation explored descriptively by age group (pediatric vs. adult; e.g., epilepsy 76.9% in &lt;18 years vs. 68.4% in ≥18 years; sleep difficulties 4.0%–84.0% in younger vs. 13.0%–60.0% in older patients) and by MECP2 mutation type where reported (e.g., dystonia higher in truncating vs. missense mutations).</w:t>
            </w:r>
          </w:p>
        </w:tc>
      </w:tr>
      <w:tr w:rsidR="00DE07F1" w:rsidRPr="009B66A4" w14:paraId="1E08836F"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EA0249B"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10A92F0C"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20d</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57E9695"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results of all sensitivity analyses conducted to assess the robustness of the synthesized results.</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2463A6F3" w14:textId="1277DF56"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 No sensitivity analyses conducted</w:t>
            </w:r>
            <w:r w:rsidR="00DB45B2" w:rsidRPr="009B66A4">
              <w:rPr>
                <w:rFonts w:ascii="Calibri" w:eastAsia="Arial" w:hAnsi="Calibri" w:cs="Calibri"/>
                <w:i/>
                <w:iCs/>
                <w:sz w:val="20"/>
                <w:szCs w:val="20"/>
              </w:rPr>
              <w:t>.</w:t>
            </w:r>
          </w:p>
        </w:tc>
      </w:tr>
      <w:tr w:rsidR="00DE07F1" w:rsidRPr="009B66A4" w14:paraId="76B20930"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7A6F3EB"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Reporting biases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AE859D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21</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CC1E71"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assessments of risk of bias due to missing results (arising from reporting biases) for each synthesis assessed.</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27B8C6DE" w14:textId="2036DC7E"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w:t>
            </w:r>
            <w:r w:rsidR="00DB45B2" w:rsidRPr="009B66A4">
              <w:rPr>
                <w:rFonts w:ascii="Calibri" w:eastAsia="Arial" w:hAnsi="Calibri" w:cs="Calibri"/>
                <w:i/>
                <w:iCs/>
                <w:sz w:val="20"/>
                <w:szCs w:val="20"/>
              </w:rPr>
              <w:t>.</w:t>
            </w:r>
          </w:p>
        </w:tc>
      </w:tr>
      <w:tr w:rsidR="00DE07F1" w:rsidRPr="009B66A4" w14:paraId="50587140"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7176EC6"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Certainty of evidence</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90170F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22</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5818DC"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Present assessments of certainty (or confidence) in the body of evidence for each outcome assessed.</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69BE9B4B" w14:textId="19267C82"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w:t>
            </w:r>
            <w:r w:rsidR="00DB45B2" w:rsidRPr="009B66A4">
              <w:rPr>
                <w:rFonts w:ascii="Calibri" w:eastAsia="Arial" w:hAnsi="Calibri" w:cs="Calibri"/>
                <w:i/>
                <w:iCs/>
                <w:sz w:val="20"/>
                <w:szCs w:val="20"/>
              </w:rPr>
              <w:t>.</w:t>
            </w:r>
          </w:p>
        </w:tc>
      </w:tr>
      <w:tr w:rsidR="00DE07F1" w:rsidRPr="009B66A4" w14:paraId="760093DA"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BFD7864"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DISCUSSION</w:t>
            </w:r>
          </w:p>
        </w:tc>
      </w:tr>
      <w:tr w:rsidR="00DE07F1" w:rsidRPr="009B66A4" w14:paraId="0A5F12B3"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F351865"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Discussion</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02F59A7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23a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334416"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Provide a general interpretation of the results in the context of other evidence.</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C7C1B6"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Discussion, Section 4, paragraphs 1–5. Findings interpreted alongside prior RTT syntheses (Fu et al., 2020; Galán-Olleros et al., 2024), consensus care guidelines, and literature on genotype-phenotype relationships. Clinical implications of cross-domain comorbidity interrelationships discussed.</w:t>
            </w:r>
          </w:p>
        </w:tc>
      </w:tr>
      <w:tr w:rsidR="00DE07F1" w:rsidRPr="009B66A4" w14:paraId="6A319E8C"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C5D1D9D"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1B460B68"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23b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305E4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Discuss any limitations of the evidence included in the review.</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F9DF79F"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 xml:space="preserve">Discussion, Section 4.1 (Strengths and Limitations). Heterogeneity in study methodology, diagnostic criteria, and reporting; small sample sizes; lack of age-stratified data in many </w:t>
            </w:r>
            <w:r w:rsidRPr="009B66A4">
              <w:rPr>
                <w:rFonts w:ascii="Calibri" w:eastAsia="Arial" w:hAnsi="Calibri" w:cs="Calibri"/>
                <w:color w:val="1A1A1A"/>
                <w:sz w:val="20"/>
                <w:szCs w:val="20"/>
              </w:rPr>
              <w:lastRenderedPageBreak/>
              <w:t>studies; English-language restriction; and underrepresentation of certain comorbidities (behavioral, cardiovascular, endocrine) due to limited accessible data are discussed.</w:t>
            </w:r>
          </w:p>
        </w:tc>
      </w:tr>
      <w:tr w:rsidR="00DE07F1" w:rsidRPr="009B66A4" w14:paraId="4ED3E795"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C9C5095"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63CC10EF"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23c</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6B2927E"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Discuss any limitations of the review processes used.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AAB44E"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Discussion, Section 4.1. Acknowledged limitations of review processes include: inability to perform meta-analysis due to study heterogeneity; absence of formal quality assessment of included studies; English-language publication restriction; and reliance on reported rather than systematically ascertained prevalence data.</w:t>
            </w:r>
          </w:p>
        </w:tc>
      </w:tr>
      <w:tr w:rsidR="00DE07F1" w:rsidRPr="009B66A4" w14:paraId="66E780E5"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2681167"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5D7060D3"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23d</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3F78A3"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Discuss implications of the results for practice, policy, and future research.</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03D3F8"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Discussion, Section 4 (paragraphs on care recommendations and future research) and Conclusions (Section 5). Implications include establishment of multidisciplinary RTT clinics, proactive surveillance protocols, routine medication review, and future research priorities: age-stratified analyses, bone health and endocrine disorder prevalence, coordinated care model development, and expanded use of disease-modifying therapies.</w:t>
            </w:r>
          </w:p>
        </w:tc>
      </w:tr>
      <w:tr w:rsidR="00DE07F1" w:rsidRPr="009B66A4" w14:paraId="35EF28DD" w14:textId="77777777" w:rsidTr="00DE07F1">
        <w:tc>
          <w:tcPr>
            <w:tcW w:w="5000" w:type="pct"/>
            <w:gridSpan w:val="4"/>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A48CD0C" w14:textId="77777777" w:rsidR="00DE07F1" w:rsidRPr="009B66A4" w:rsidRDefault="00DE07F1" w:rsidP="00AA0C49">
            <w:pPr>
              <w:rPr>
                <w:rFonts w:ascii="Calibri" w:hAnsi="Calibri" w:cs="Calibri"/>
                <w:sz w:val="20"/>
                <w:szCs w:val="20"/>
              </w:rPr>
            </w:pPr>
            <w:r w:rsidRPr="009B66A4">
              <w:rPr>
                <w:rFonts w:ascii="Calibri" w:eastAsia="Arial" w:hAnsi="Calibri" w:cs="Calibri"/>
                <w:b/>
                <w:bCs/>
                <w:color w:val="1F4E79"/>
                <w:sz w:val="20"/>
                <w:szCs w:val="20"/>
              </w:rPr>
              <w:t>OTHER INFORMATION</w:t>
            </w:r>
          </w:p>
        </w:tc>
      </w:tr>
      <w:tr w:rsidR="00DE07F1" w:rsidRPr="009B66A4" w14:paraId="09D70227"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2FF8884"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Registration and protocol</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10250ED1"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24a</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8B619C0"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Provide registration information for the review, including register name and registration number, or state that the review was not registered.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06D2EE"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The review was not prospectively registered in PROSPERO or any other systematic-review registry. This should be stated explicitly in the manuscript (e.g., in the Methods or a Registration statement).</w:t>
            </w:r>
          </w:p>
        </w:tc>
      </w:tr>
      <w:tr w:rsidR="00DE07F1" w:rsidRPr="009B66A4" w14:paraId="391D30EB"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87A583B"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28977C8B"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24b</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91A14F"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Indicate where the review protocol can be accessed, or state that a protocol was not prepared.</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E6321C"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A formal review protocol was not prepared or made publicly available. This should be stated explicitly in the manuscript.</w:t>
            </w:r>
          </w:p>
        </w:tc>
      </w:tr>
      <w:tr w:rsidR="00DE07F1" w:rsidRPr="009B66A4" w14:paraId="6EF16424"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FEA6B8F" w14:textId="77777777" w:rsidR="00DE07F1" w:rsidRPr="009B66A4" w:rsidRDefault="00DE07F1" w:rsidP="00AA0C49">
            <w:pPr>
              <w:rPr>
                <w:rFonts w:ascii="Calibri" w:hAnsi="Calibri" w:cs="Calibri"/>
                <w:sz w:val="20"/>
                <w:szCs w:val="20"/>
              </w:rPr>
            </w:pP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4F2D0BAA"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24c</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2553E0"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and explain any amendments to information provided at registration or in the protocol.</w:t>
            </w:r>
          </w:p>
        </w:tc>
        <w:tc>
          <w:tcPr>
            <w:tcW w:w="2594" w:type="pct"/>
            <w:tcBorders>
              <w:top w:val="single" w:sz="1" w:space="0" w:color="AAAAAA"/>
              <w:left w:val="single" w:sz="1" w:space="0" w:color="AAAAAA"/>
              <w:bottom w:val="single" w:sz="1" w:space="0" w:color="AAAAAA"/>
              <w:right w:val="single" w:sz="1" w:space="0" w:color="AAAAAA"/>
            </w:tcBorders>
            <w:shd w:val="clear" w:color="auto" w:fill="F9F9F9"/>
            <w:tcMar>
              <w:top w:w="80" w:type="dxa"/>
              <w:left w:w="120" w:type="dxa"/>
              <w:bottom w:w="80" w:type="dxa"/>
              <w:right w:w="120" w:type="dxa"/>
            </w:tcMar>
          </w:tcPr>
          <w:p w14:paraId="490F670E" w14:textId="77777777" w:rsidR="00DE07F1" w:rsidRPr="009B66A4" w:rsidRDefault="00DE07F1" w:rsidP="00AA0C49">
            <w:pPr>
              <w:rPr>
                <w:rFonts w:ascii="Calibri" w:hAnsi="Calibri" w:cs="Calibri"/>
                <w:sz w:val="20"/>
                <w:szCs w:val="20"/>
              </w:rPr>
            </w:pPr>
            <w:r w:rsidRPr="009B66A4">
              <w:rPr>
                <w:rFonts w:ascii="Calibri" w:eastAsia="Arial" w:hAnsi="Calibri" w:cs="Calibri"/>
                <w:i/>
                <w:iCs/>
                <w:sz w:val="20"/>
                <w:szCs w:val="20"/>
              </w:rPr>
              <w:t>Not applicable. No registration or formal protocol was prepared; therefore, no amendments are reported.</w:t>
            </w:r>
          </w:p>
        </w:tc>
      </w:tr>
      <w:tr w:rsidR="00DE07F1" w:rsidRPr="009B66A4" w14:paraId="5453F6DA"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D9BB409"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lastRenderedPageBreak/>
              <w:t>Support</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195699F5"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25</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5D19EE"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Describe sources of financial or non-financial support for the review, and the role of the funders or sponsors in the review.</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0B895B4"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To be confirmed by authors. Affiliations indicate involvement of Acadia Pharmaceuticals (N. Rashid, Medical Affairs) and Anlitiks Inc. (K. Rajagopalan, S.S. Syed). Funding source, role of funder, and any author contributions related to the sponsor should be declared explicitly in a Funding or Acknowledgements statement.</w:t>
            </w:r>
          </w:p>
        </w:tc>
      </w:tr>
      <w:tr w:rsidR="00DE07F1" w:rsidRPr="009B66A4" w14:paraId="77886938"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431E894"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Competing interests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79B4585E"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26</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6AF0FDA"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Declare any competing interests of review authors.</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4FFE1DB"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To be confirmed by authors. A Conflict of Interest statement should be included declaring any financial relationships with Acadia Pharmaceuticals or Anlitiks Inc., and any other relevant competing interests for all co-authors (including university-affiliated authors C.M. Okeke, R.N. Nechi, and I. Yunusa).</w:t>
            </w:r>
          </w:p>
        </w:tc>
      </w:tr>
      <w:tr w:rsidR="00DE07F1" w:rsidRPr="009B66A4" w14:paraId="2E54B39C" w14:textId="77777777" w:rsidTr="00DE07F1">
        <w:tc>
          <w:tcPr>
            <w:tcW w:w="801" w:type="pct"/>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739814E"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Availability of data, code, and other materials</w:t>
            </w:r>
          </w:p>
        </w:tc>
        <w:tc>
          <w:tcPr>
            <w:tcW w:w="32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vAlign w:val="center"/>
          </w:tcPr>
          <w:p w14:paraId="04225FD6" w14:textId="77777777" w:rsidR="00DE07F1" w:rsidRPr="009B66A4" w:rsidRDefault="00DE07F1" w:rsidP="00AA0C49">
            <w:pPr>
              <w:jc w:val="center"/>
              <w:rPr>
                <w:rFonts w:ascii="Calibri" w:hAnsi="Calibri" w:cs="Calibri"/>
                <w:sz w:val="20"/>
                <w:szCs w:val="20"/>
              </w:rPr>
            </w:pPr>
            <w:r w:rsidRPr="009B66A4">
              <w:rPr>
                <w:rFonts w:ascii="Calibri" w:eastAsia="Arial" w:hAnsi="Calibri" w:cs="Calibri"/>
                <w:sz w:val="20"/>
                <w:szCs w:val="20"/>
              </w:rPr>
              <w:t>27</w:t>
            </w:r>
          </w:p>
        </w:tc>
        <w:tc>
          <w:tcPr>
            <w:tcW w:w="1279"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5C347B2" w14:textId="77777777" w:rsidR="00DE07F1" w:rsidRPr="009B66A4" w:rsidRDefault="00DE07F1" w:rsidP="00AA0C49">
            <w:pPr>
              <w:rPr>
                <w:rFonts w:ascii="Calibri" w:hAnsi="Calibri" w:cs="Calibri"/>
                <w:sz w:val="20"/>
                <w:szCs w:val="20"/>
              </w:rPr>
            </w:pPr>
            <w:r w:rsidRPr="009B66A4">
              <w:rPr>
                <w:rFonts w:ascii="Calibri" w:eastAsia="Arial" w:hAnsi="Calibri" w:cs="Calibri"/>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2594"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A23EEC" w14:textId="77777777" w:rsidR="00DE07F1" w:rsidRPr="009B66A4" w:rsidRDefault="00DE07F1" w:rsidP="00AA0C49">
            <w:pPr>
              <w:rPr>
                <w:rFonts w:ascii="Calibri" w:hAnsi="Calibri" w:cs="Calibri"/>
                <w:sz w:val="20"/>
                <w:szCs w:val="20"/>
              </w:rPr>
            </w:pPr>
            <w:r w:rsidRPr="009B66A4">
              <w:rPr>
                <w:rFonts w:ascii="Calibri" w:eastAsia="Arial" w:hAnsi="Calibri" w:cs="Calibri"/>
                <w:color w:val="1A1A1A"/>
                <w:sz w:val="20"/>
                <w:szCs w:val="20"/>
              </w:rPr>
              <w:t>A Data Availability statement should be included. Based on the manuscript, the full list of 148 included studies is provided in Supplementary Table S1. The standardized data extraction form is not described as publicly archived. No analytic code was used (narrative synthesis only). Authors should confirm what supplementary materials will be made available upon publication.</w:t>
            </w:r>
          </w:p>
        </w:tc>
      </w:tr>
    </w:tbl>
    <w:p w14:paraId="22AFF438" w14:textId="77777777" w:rsidR="008A7F13" w:rsidRPr="009B66A4" w:rsidRDefault="008A7F13" w:rsidP="008A7F13">
      <w:pPr>
        <w:pStyle w:val="Default"/>
        <w:spacing w:line="183" w:lineRule="atLeast"/>
        <w:jc w:val="both"/>
        <w:rPr>
          <w:color w:val="auto"/>
          <w:sz w:val="20"/>
          <w:szCs w:val="20"/>
          <w:lang w:val="en-US"/>
        </w:rPr>
      </w:pPr>
      <w:r w:rsidRPr="009B66A4">
        <w:rPr>
          <w:i/>
          <w:iCs/>
          <w:color w:val="auto"/>
          <w:sz w:val="20"/>
          <w:szCs w:val="20"/>
        </w:rPr>
        <w:t xml:space="preserve">From: </w:t>
      </w:r>
      <w:r w:rsidRPr="009B66A4">
        <w:rPr>
          <w:color w:val="auto"/>
          <w:sz w:val="20"/>
          <w:szCs w:val="20"/>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7" w:history="1">
        <w:r w:rsidRPr="009B66A4">
          <w:rPr>
            <w:rStyle w:val="Hyperlink"/>
            <w:sz w:val="20"/>
            <w:szCs w:val="20"/>
          </w:rPr>
          <w:t>https://creativecommons.org/licenses/by/4.0/</w:t>
        </w:r>
      </w:hyperlink>
      <w:r w:rsidRPr="009B66A4">
        <w:rPr>
          <w:color w:val="auto"/>
          <w:sz w:val="20"/>
          <w:szCs w:val="20"/>
        </w:rPr>
        <w:t xml:space="preserve"> </w:t>
      </w:r>
    </w:p>
    <w:p w14:paraId="33E0F32C" w14:textId="6A31A674" w:rsidR="00DE07F1" w:rsidRPr="009B66A4" w:rsidRDefault="00DE07F1">
      <w:pPr>
        <w:rPr>
          <w:rFonts w:ascii="Calibri" w:eastAsia="Times New Roman" w:hAnsi="Calibri" w:cs="Calibri"/>
          <w:b/>
          <w:bCs/>
          <w:color w:val="000000"/>
          <w:kern w:val="0"/>
          <w:sz w:val="20"/>
          <w:szCs w:val="20"/>
          <w14:ligatures w14:val="none"/>
        </w:rPr>
      </w:pPr>
      <w:r w:rsidRPr="009B66A4">
        <w:rPr>
          <w:rFonts w:ascii="Calibri" w:eastAsia="Times New Roman" w:hAnsi="Calibri" w:cs="Calibri"/>
          <w:b/>
          <w:bCs/>
          <w:color w:val="000000"/>
          <w:kern w:val="0"/>
          <w:sz w:val="20"/>
          <w:szCs w:val="20"/>
          <w14:ligatures w14:val="none"/>
        </w:rPr>
        <w:br w:type="page"/>
      </w:r>
    </w:p>
    <w:p w14:paraId="4E889945" w14:textId="0832F47E" w:rsidR="00BD3DBE" w:rsidRPr="009B66A4" w:rsidRDefault="00BD3DBE" w:rsidP="00BD3DBE">
      <w:pPr>
        <w:rPr>
          <w:rFonts w:ascii="Calibri" w:hAnsi="Calibri" w:cs="Calibri"/>
          <w:b/>
          <w:bCs/>
          <w:sz w:val="20"/>
          <w:szCs w:val="20"/>
        </w:rPr>
      </w:pPr>
      <w:r w:rsidRPr="009B66A4">
        <w:rPr>
          <w:rFonts w:ascii="Calibri" w:hAnsi="Calibri" w:cs="Calibri"/>
          <w:b/>
          <w:bCs/>
          <w:sz w:val="20"/>
          <w:szCs w:val="20"/>
        </w:rPr>
        <w:lastRenderedPageBreak/>
        <w:t xml:space="preserve">Table S3: Search Strategy in PubMed </w:t>
      </w:r>
    </w:p>
    <w:tbl>
      <w:tblPr>
        <w:tblStyle w:val="GridTable4-Accent1"/>
        <w:tblW w:w="14395" w:type="dxa"/>
        <w:tblLook w:val="04A0" w:firstRow="1" w:lastRow="0" w:firstColumn="1" w:lastColumn="0" w:noHBand="0" w:noVBand="1"/>
      </w:tblPr>
      <w:tblGrid>
        <w:gridCol w:w="929"/>
        <w:gridCol w:w="2508"/>
        <w:gridCol w:w="9698"/>
        <w:gridCol w:w="1260"/>
      </w:tblGrid>
      <w:tr w:rsidR="00BD3DBE" w:rsidRPr="009B66A4" w14:paraId="7DE33062" w14:textId="77777777" w:rsidTr="00BD3DBE">
        <w:trPr>
          <w:cnfStyle w:val="100000000000" w:firstRow="1" w:lastRow="0" w:firstColumn="0" w:lastColumn="0" w:oddVBand="0" w:evenVBand="0" w:oddHBand="0" w:evenHBand="0" w:firstRowFirstColumn="0" w:firstRowLastColumn="0" w:lastRowFirstColumn="0" w:lastRowLastColumn="0"/>
          <w:trHeight w:val="604"/>
          <w:tblHeader/>
        </w:trPr>
        <w:tc>
          <w:tcPr>
            <w:cnfStyle w:val="001000000000" w:firstRow="0" w:lastRow="0" w:firstColumn="1" w:lastColumn="0" w:oddVBand="0" w:evenVBand="0" w:oddHBand="0" w:evenHBand="0" w:firstRowFirstColumn="0" w:firstRowLastColumn="0" w:lastRowFirstColumn="0" w:lastRowLastColumn="0"/>
            <w:tcW w:w="929" w:type="dxa"/>
            <w:vAlign w:val="center"/>
            <w:hideMark/>
          </w:tcPr>
          <w:p w14:paraId="696CBA97" w14:textId="77777777" w:rsidR="00BD3DBE" w:rsidRPr="009B66A4" w:rsidRDefault="00BD3DBE" w:rsidP="00BD3DBE">
            <w:pPr>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Search number</w:t>
            </w:r>
          </w:p>
        </w:tc>
        <w:tc>
          <w:tcPr>
            <w:tcW w:w="2508" w:type="dxa"/>
            <w:vAlign w:val="center"/>
            <w:hideMark/>
          </w:tcPr>
          <w:p w14:paraId="0B3F1A7C"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Category</w:t>
            </w:r>
          </w:p>
        </w:tc>
        <w:tc>
          <w:tcPr>
            <w:tcW w:w="9698" w:type="dxa"/>
            <w:vAlign w:val="center"/>
            <w:hideMark/>
          </w:tcPr>
          <w:p w14:paraId="0EE7C28B"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Query</w:t>
            </w:r>
          </w:p>
        </w:tc>
        <w:tc>
          <w:tcPr>
            <w:tcW w:w="1260" w:type="dxa"/>
            <w:vAlign w:val="center"/>
            <w:hideMark/>
          </w:tcPr>
          <w:p w14:paraId="6C1F0A83"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Results</w:t>
            </w:r>
          </w:p>
        </w:tc>
      </w:tr>
      <w:tr w:rsidR="00BD3DBE" w:rsidRPr="009B66A4" w14:paraId="31612B1E"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0FC415EB"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w:t>
            </w:r>
          </w:p>
        </w:tc>
        <w:tc>
          <w:tcPr>
            <w:tcW w:w="2508" w:type="dxa"/>
            <w:shd w:val="clear" w:color="auto" w:fill="F5F5F5"/>
            <w:noWrap/>
            <w:vAlign w:val="center"/>
            <w:hideMark/>
          </w:tcPr>
          <w:p w14:paraId="708984A7"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w:t>
            </w:r>
          </w:p>
        </w:tc>
        <w:tc>
          <w:tcPr>
            <w:tcW w:w="9698" w:type="dxa"/>
            <w:shd w:val="clear" w:color="auto" w:fill="F5F5F5"/>
            <w:noWrap/>
            <w:vAlign w:val="center"/>
            <w:hideMark/>
          </w:tcPr>
          <w:p w14:paraId="66B2E1EB"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"Rett*" [tw] OR "Rett syndrome" [Mesh] OR "MECP2" [tw]</w:t>
            </w:r>
          </w:p>
        </w:tc>
        <w:tc>
          <w:tcPr>
            <w:tcW w:w="1260" w:type="dxa"/>
            <w:shd w:val="clear" w:color="auto" w:fill="F5F5F5"/>
            <w:noWrap/>
            <w:vAlign w:val="center"/>
            <w:hideMark/>
          </w:tcPr>
          <w:p w14:paraId="7791D9E5"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7,361</w:t>
            </w:r>
          </w:p>
        </w:tc>
      </w:tr>
      <w:tr w:rsidR="00BD3DBE" w:rsidRPr="009B66A4" w14:paraId="651DA622"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77BFDA5D"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w:t>
            </w:r>
          </w:p>
        </w:tc>
        <w:tc>
          <w:tcPr>
            <w:tcW w:w="2508" w:type="dxa"/>
            <w:noWrap/>
            <w:vAlign w:val="center"/>
            <w:hideMark/>
          </w:tcPr>
          <w:p w14:paraId="16291208"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Comorbidity</w:t>
            </w:r>
          </w:p>
        </w:tc>
        <w:tc>
          <w:tcPr>
            <w:tcW w:w="9698" w:type="dxa"/>
            <w:noWrap/>
            <w:vAlign w:val="center"/>
            <w:hideMark/>
          </w:tcPr>
          <w:p w14:paraId="40A57447"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"Comorbidity" [Mesh] OR "comorbid*" OR "Multimorbidity" [tw] OR "Risk Factor" [tw] OR "Social Risk Factor*" [tw] OR "Health Correlates" [tw] OR "Population* at Risk" [tw] OR "Risk Score*" [tw] OR "Risk Factor Score*" [tw] OR "Charlson index" [tw] OR "Charlson score" [tw] OR "CCI" [tw] OR "Elixhauser Index" [tw] OR "Elixhauser score" [tw] OR "Elixhauser comorbidity measure" [tw] OR "ECM" [tw] OR "NCI Comorbidity Index" [tw] OR "Adult Comorbidity Evaluation-27" [tw] OR "ACE-27" [tw] OR "Cardiovascular Diseases"[Mesh] OR "Mental Disorders"[Mesh] OR "Neurodegenerative Diseases"[Mesh] OR "Neurodegenerative Diseases"[Mesh] OR "Respiratory Tract Diseases"[Mesh] OR "Musculoskeletal Diseases"[Mesh] OR "Gastrointestinal Diseases"[Mesh] OR "Hematologic Diseases"[Mesh] OR "Urogenital Diseases"[Mesh] OR "Infections"[Mesh] OR "Digestive system diseases" [Mesh] OR "Endocrine System Diseases" [Mesh] OR cardiac disorder* OR cardiac arrhythmia* OR Alzheimer disease OR dementia OR arthritis OR asthma OR cardiovascular diseases OR stroke OR chronic bronchitis OR chronic disease OR chronic hepatitis OR renal insufficiency OR chronic obstructive pulmonary disease OR COPD OR obstructive pulmonary disease OR cognition disorder* OR Respiratory disorder* OR depression OR depressive disorder* OR renal dialysis OR myocardial infarction OR hypertension OR liver disease* OR mental disorder* OR lung disease* OR Hypotension OR Atrial Fibrillation OR Cerebrovascular Disorders OR Myocardial Ischemia OR Polypharmacy OR Peripheral Vascular Disease* OR Peptic Ulcer OR Sarcopenia OR neurological disorder* OR covid19 OR covid-19 OR influenza OR Respiratory syncytial virus OR ADHD OR "attention deficit hyperactivity disorder"[tw] OR cerebral palsy OR Delirium OR Lethargy OR Mania OR Amnesia OR Hallucination* OR Illusion* OR Apraxia* OR Anhedonia OR Catatonia OR confusion OR Musculoskeletal Disorder* OR nutritional deficien* OR malnutrition</w:t>
            </w:r>
          </w:p>
        </w:tc>
        <w:tc>
          <w:tcPr>
            <w:tcW w:w="1260" w:type="dxa"/>
            <w:noWrap/>
            <w:vAlign w:val="center"/>
            <w:hideMark/>
          </w:tcPr>
          <w:p w14:paraId="266AAA8D"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15,089,037</w:t>
            </w:r>
          </w:p>
        </w:tc>
      </w:tr>
      <w:tr w:rsidR="00BD3DBE" w:rsidRPr="009B66A4" w14:paraId="575FC372"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3D7B480F"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3</w:t>
            </w:r>
          </w:p>
        </w:tc>
        <w:tc>
          <w:tcPr>
            <w:tcW w:w="2508" w:type="dxa"/>
            <w:shd w:val="clear" w:color="auto" w:fill="F5F5F5"/>
            <w:noWrap/>
            <w:vAlign w:val="center"/>
            <w:hideMark/>
          </w:tcPr>
          <w:p w14:paraId="3D883BE5"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Complications</w:t>
            </w:r>
          </w:p>
        </w:tc>
        <w:tc>
          <w:tcPr>
            <w:tcW w:w="9698" w:type="dxa"/>
            <w:shd w:val="clear" w:color="auto" w:fill="F5F5F5"/>
            <w:noWrap/>
            <w:vAlign w:val="center"/>
            <w:hideMark/>
          </w:tcPr>
          <w:p w14:paraId="2E6E8EDE"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 xml:space="preserve">"Irregular breathing pattern*"[tw] OR "Epilepsy"[tw] OR "Dysphagia"[tw] OR "Sleep dysfunction"[tw] OR "Movement disorder*"[tw] OR "Behavioral disorder*"[tw] OR "Behavioral disturbance*"[tw] OR "Behavioural disturbance*"[tw] OR "Constipation"[tw] OR "Gastrointestinal Reflux"[tw] OR "Growth abnormal*"[tw] OR "Underweight"[tw] OR "Short stature"[tw] OR "Gall bladder dysfunction"[tw] OR "Prolonged QT interval"[tw] OR "Low bone mineral mass"[tw] OR "Premature adrenarche"[tw] OR "Premature thelarche"[tw] OR "Delayed menarche"[tw] OR "Thyroid dysfunction"[tw] OR "Scoliosis"[tw] OR "Hip *placement"[tw] OR "Fracture*"[tw] OR "Fall*"[tw] OR "Lower respiratory tract infection*"[tw] OR "Aspiration*"[tw] OR "Aspiration pneumonia"[tw] OR "pneumonia*"[tw] OR "Diarrhea*"[tw] OR "Gastroparesis"[tw] OR "Convulsion*"[tw] OR "Respiratory failure*"[tw] OR "Bruxism"[tw] OR "Oral health"[tw] OR "Dental health"[tw] OR "Dental problem*"[tw] OR "Oral problem* "[tw] OR "Seizure*"[tw] OR "Asphyxiation"[tw] OR "Respiratory Failure"[tw] OR "Vomiting"[tw] OR "Neurological disorder"[tw] OR "Delayed development"[tw] OR "Development delay"[tw] OR "Hypotonia"[tw] OR "Microcephaly"[tw] OR "Weakness/paralysis"[tw] OR "Stereotypic"[tw] OR "repetitive hand movements"[tw] OR "hand apraxia"[tw] OR "hand dyspraxia"[tw] OR "Wasting"[tw] OR "dystonia"[tw] OR "bradykinesia"[tw] OR "Gastrostom*"[tw] OR "failure to thrive"[tw] OR "Biliary tract disorder*"[tw] OR "Biliary tract disease*"[tw] OR "cholangitis"[tw] OR </w:t>
            </w:r>
            <w:r w:rsidRPr="009B66A4">
              <w:rPr>
                <w:rFonts w:ascii="Calibri" w:hAnsi="Calibri" w:cs="Calibri"/>
                <w:color w:val="000000"/>
                <w:sz w:val="20"/>
                <w:szCs w:val="20"/>
              </w:rPr>
              <w:lastRenderedPageBreak/>
              <w:t>"cholestasis"[tw] OR "bile reflux"[tw] OR "cholelithiasis"[tw] OR "cholecystolithiasis"[tw] OR "choledocholithiasis"[tw] OR "cholecystitis"[tw] OR "Cholelithiasis"[tw] OR "Biliary dyskinesia"[tw] OR "Endocrine disorder*"[tw] OR "Endocrine disease*"[tw] OR "adrenal"[tw] OR "diabetes"[tw] OR "dwarfism"[tw] OR "ovar*"[tw] OR "testi*"[tw] OR "gonad*"[tw] OR "parathyroid"[tw] OR "pitutar*"[tw] OR "bone disease*"[tw] OR "osteolysis"[tw] OR "leg length inequality"[tw] OR "dysotoses"[tw] OR "gigantism"[tw] OR "funnel chest"[tw] OR "Gingivitis"[tw] OR "Dental caries"[tw] OR "dental attrition"[tw] OR "dental erosion"[tw] OR "Dental abrasion"[tw] OR "Anterior open bite"[tw] OR "Ogival palate"[tw] OR "Mouth breathing"[tw] OR "Tongue thrust*"[tw] OR "Fever"[tw] OR "Upper respiratory infection"[tw] OR "Atelectasis"[tw] OR "Breathing irregularities"[tw] OR "Abnormal Breathing"[tw] OR "Cough"[tw] OR "urinary tract infection*"[tw] OR "weight loss"[tw] OR "low weight"[tw]</w:t>
            </w:r>
          </w:p>
        </w:tc>
        <w:tc>
          <w:tcPr>
            <w:tcW w:w="1260" w:type="dxa"/>
            <w:shd w:val="clear" w:color="auto" w:fill="F5F5F5"/>
            <w:noWrap/>
            <w:vAlign w:val="center"/>
            <w:hideMark/>
          </w:tcPr>
          <w:p w14:paraId="626BA9D9"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lastRenderedPageBreak/>
              <w:t>4,890,673</w:t>
            </w:r>
          </w:p>
        </w:tc>
      </w:tr>
      <w:tr w:rsidR="00BD3DBE" w:rsidRPr="009B66A4" w14:paraId="666BA285"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0FD9CF8C"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w:t>
            </w:r>
          </w:p>
        </w:tc>
        <w:tc>
          <w:tcPr>
            <w:tcW w:w="2508" w:type="dxa"/>
            <w:noWrap/>
            <w:vAlign w:val="center"/>
            <w:hideMark/>
          </w:tcPr>
          <w:p w14:paraId="31FBED40"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Comorbidity/complication</w:t>
            </w:r>
          </w:p>
        </w:tc>
        <w:tc>
          <w:tcPr>
            <w:tcW w:w="9698" w:type="dxa"/>
            <w:noWrap/>
            <w:vAlign w:val="center"/>
            <w:hideMark/>
          </w:tcPr>
          <w:p w14:paraId="28C97D5A"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 OR #3</w:t>
            </w:r>
          </w:p>
        </w:tc>
        <w:tc>
          <w:tcPr>
            <w:tcW w:w="1260" w:type="dxa"/>
            <w:noWrap/>
            <w:vAlign w:val="center"/>
            <w:hideMark/>
          </w:tcPr>
          <w:p w14:paraId="54DABC03"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16,966,827</w:t>
            </w:r>
          </w:p>
        </w:tc>
      </w:tr>
      <w:tr w:rsidR="00BD3DBE" w:rsidRPr="009B66A4" w14:paraId="462CC55D"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4A46A394"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w:t>
            </w:r>
          </w:p>
        </w:tc>
        <w:tc>
          <w:tcPr>
            <w:tcW w:w="2508" w:type="dxa"/>
            <w:shd w:val="clear" w:color="auto" w:fill="F5F5F5"/>
            <w:noWrap/>
            <w:vAlign w:val="center"/>
            <w:hideMark/>
          </w:tcPr>
          <w:p w14:paraId="12FE47C0"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comorbidity</w:t>
            </w:r>
          </w:p>
        </w:tc>
        <w:tc>
          <w:tcPr>
            <w:tcW w:w="9698" w:type="dxa"/>
            <w:shd w:val="clear" w:color="auto" w:fill="F5F5F5"/>
            <w:noWrap/>
            <w:vAlign w:val="center"/>
            <w:hideMark/>
          </w:tcPr>
          <w:p w14:paraId="40134234"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#4</w:t>
            </w:r>
          </w:p>
        </w:tc>
        <w:tc>
          <w:tcPr>
            <w:tcW w:w="1260" w:type="dxa"/>
            <w:shd w:val="clear" w:color="auto" w:fill="F5F5F5"/>
            <w:noWrap/>
            <w:vAlign w:val="center"/>
            <w:hideMark/>
          </w:tcPr>
          <w:p w14:paraId="3DDF9A3C"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4,579</w:t>
            </w:r>
          </w:p>
        </w:tc>
      </w:tr>
      <w:tr w:rsidR="00BD3DBE" w:rsidRPr="009B66A4" w14:paraId="09EB6F3E"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3E9C6B42"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6</w:t>
            </w:r>
          </w:p>
        </w:tc>
        <w:tc>
          <w:tcPr>
            <w:tcW w:w="2508" w:type="dxa"/>
            <w:noWrap/>
            <w:vAlign w:val="center"/>
            <w:hideMark/>
          </w:tcPr>
          <w:p w14:paraId="11CBA117"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Concomitant medication</w:t>
            </w:r>
          </w:p>
        </w:tc>
        <w:tc>
          <w:tcPr>
            <w:tcW w:w="9698" w:type="dxa"/>
            <w:noWrap/>
            <w:vAlign w:val="center"/>
            <w:hideMark/>
          </w:tcPr>
          <w:p w14:paraId="4BEFA83A"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 xml:space="preserve">"co-medication"[tw] OR "baseline"[tw] OR "baselines"[tw] OR "co-medications"[tw] OR "concomitan*"[tw] OR "gastric acid suppressants"[tw] OR "proton pump inhibitors"[tw] OR "PPI"[tw] OR "H2 antagonists"[tw] OR "Pantoprazole"[tw] OR "lansoprazole"[tw] OR "omeprazole"[tw] OR "rabeprazole"[tw] OR "esomeprazole"[tw] OR "non steroidal anti inflammatory drugs"[tw] OR "NSAID*"[tw] OR "cyclooxygenase inhibitors"[tw] OR "cox 2 inhibitors"[tw] OR "aspirin"[tw] OR "corticosteroids"[tw] OR "steroids"[tw] OR "Glucocorticoids"[tw] OR "prednisone"[tw] OR "immunomodulators"[tw] OR "psychotropic drugs"[tw] OR "clozapine"[tw] OR "chordiazepoxide"[tw] OR "olanzapine"[tw] OR "Zyprexa"[tw] OR "olanza"[tw] OR "risperidone"[tw] OR "analgesics"[tw] OR "opioids"[tw] OR "Morphine"[tw] OR "antidiabetics"[tw] OR "metformin"[tw] OR "antidiabetic drugs"[tw] OR "insulin"[tw] OR "Antibiotics"[tw] OR "ATB"[tw] OR "antibacterial"[tw] OR "broad spectrum antibiotic"[tw] OR "beta-lactam"[tw] OR "sulphonamide"[tw] OR "quinolone"[tw] OR "fluoroquinolones"[tw] OR "macrolide"[tw] OR "aminoglycoside"[tw] OR "tetracycline"[tw] OR "captopril"[tw] OR "beta-blockers"[tw] OR "angiotensin ii receptor blockers"[tw] OR "ARB"[tw] OR "candesartan"[tw] OR "angiotensin converting enzyme inhibitors"[tw] OR "ACEI"[tw] OR "calcium antagonists"[tw] OR "anticoagulants"[tw] OR "low molecular weight heparin"[tw] OR "cumarinic"[tw] OR "acetylsalicylic acid"[tw] OR "lipid lowering agents"[tw] OR "fibrates"[tw] OR "ezetimibe"[tw] OR "statin"[tw] OR "probiotics"[tw] OR "antiepileptic drugs"[tw] OR "Lamotrigine"[tw] OR "Levetiracetam"[tw] OR "Carbamazepine"[tw] OR "Clonazepam"[tw] OR "Lacosamide"[tw] OR "Topiramate"[tw] OR "Gabapentin"[tw] OR "Clobazam"[tw] OR "Phenobarbital"[tw] OR "Zonisamide"[tw] OR "Diazepam"[tw] OR "Felbamate"[tw] OR "Oxcarbazepine"[tw] OR "Phenytoin"[tw] OR "Rufinamide"[tw] OR "Valproate"[tw] OR "Valproic acid"[tw] OR "Ethosuximide"[tw] OR "Pregabalin"[tw] OR "Lorazepam"[tw] OR "Acetazolamide"[tw] OR "Primidone"[tw] OR "Vigabatrin"[tw] OR "Divalproex sodium"[tw] OR "Divalproex"[tw] OR "Eslicarbazepine acetate"[tw] OR "Antiarrhythmic drug*"[tw] OR "Quinidine"[tw] OR "procainamide"[tw] OR "disopyramide"[tw] OR "lidocaine"[tw] OR "mexiletine"[tw] OR "propafenone"[tw] OR "flecainide"[tw] OR "verapamil"[tw] OR </w:t>
            </w:r>
            <w:r w:rsidRPr="009B66A4">
              <w:rPr>
                <w:rFonts w:ascii="Calibri" w:hAnsi="Calibri" w:cs="Calibri"/>
                <w:color w:val="000000"/>
                <w:sz w:val="20"/>
                <w:szCs w:val="20"/>
              </w:rPr>
              <w:lastRenderedPageBreak/>
              <w:t>"diltiazem"[tw] OR "amiodarone"[tw] OR "dronedarone"[tw] OR "dofetilide"[tw] OR "ibutilide"[tw] OR "propranolol"[tw] OR "Sotalol"[tw] OR "esmolol"[tw] OR "adenosine"[tw] OR "digoxin"[tw] OR "Nutritional supplement*"[tw] OR "Levocarnitine"[tw] OR "prokinetic drug*"[tw] OR "prokinetic agents*"[tw] OR "domperidone"[tw] OR "metoclopramide"[tw] OR "cisapride"[tw] OR "erythromycin"[tw] OR "Metoclopramide"[tw] OR "sedative*"[tw] OR "hypnotic*"[tw] OR "benzodiazepine*"[tw] OR "lorazepam"[tw] OR "alprazolam"[tw] OR "temazepam"[tw] OR "triazolam"[tw] OR "zolpidem"[tw] OR "zaleplon"[tw] OR "zopiclone"[tw] OR "eszopiclone"[tw] OR "barbiturate*"[tw] OR "phenobarbital"[tw] OR "secobarbital"[tw] OR "barbi*"[tw] OR "ramelteon"[tw] OR "suvorexant"[tw] OR "chloral hydrate"[tw] OR "doxepin"[tw] OR "diphenhydramine"[tw] OR "doxylamine"[tw] OR "Midazolam"[tw] OR "Triazolam"</w:t>
            </w:r>
          </w:p>
        </w:tc>
        <w:tc>
          <w:tcPr>
            <w:tcW w:w="1260" w:type="dxa"/>
            <w:noWrap/>
            <w:vAlign w:val="center"/>
            <w:hideMark/>
          </w:tcPr>
          <w:p w14:paraId="44158DBD"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lastRenderedPageBreak/>
              <w:t>3,496,909</w:t>
            </w:r>
          </w:p>
        </w:tc>
      </w:tr>
      <w:tr w:rsidR="00BD3DBE" w:rsidRPr="009B66A4" w14:paraId="2BC0E658"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2817605C"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7</w:t>
            </w:r>
          </w:p>
        </w:tc>
        <w:tc>
          <w:tcPr>
            <w:tcW w:w="2508" w:type="dxa"/>
            <w:shd w:val="clear" w:color="auto" w:fill="F5F5F5"/>
            <w:noWrap/>
            <w:vAlign w:val="center"/>
            <w:hideMark/>
          </w:tcPr>
          <w:p w14:paraId="23D88429"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Services</w:t>
            </w:r>
          </w:p>
        </w:tc>
        <w:tc>
          <w:tcPr>
            <w:tcW w:w="9698" w:type="dxa"/>
            <w:shd w:val="clear" w:color="auto" w:fill="F5F5F5"/>
            <w:noWrap/>
            <w:vAlign w:val="center"/>
            <w:hideMark/>
          </w:tcPr>
          <w:p w14:paraId="4452F176"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"language therapy"[tw] OR "speech therapy"[tw] OR "feeding therapy"[tw] OR "occupational therapy"[tw] OR "communication therapy"[tw] OR "vision therapy"[tw] OR "hippotherapy"[tw] OR "swim therapy"[tw] OR "hydrotherapy"[tw] OR "pool therapy"[tw] OR "education"[tw] OR "communication"[tw] OR "augmentative therapy"[tw] OR "Physical therapy" OR "Speech AND language therapy" OR "opthalm*" OR "Ankle-foot orthose*" OR "Brace*" OR "Hand Splint*" OR "Helmet*" OR "Walker*" OR "Wheelchair*" OR "speech generating device*" OR "Bath aid*" OR "Shower aid*" OR "Toilet aid*"[tw]</w:t>
            </w:r>
          </w:p>
        </w:tc>
        <w:tc>
          <w:tcPr>
            <w:tcW w:w="1260" w:type="dxa"/>
            <w:shd w:val="clear" w:color="auto" w:fill="F5F5F5"/>
            <w:noWrap/>
            <w:vAlign w:val="center"/>
            <w:hideMark/>
          </w:tcPr>
          <w:p w14:paraId="3D060A2B"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1,765,163</w:t>
            </w:r>
          </w:p>
        </w:tc>
      </w:tr>
      <w:tr w:rsidR="00BD3DBE" w:rsidRPr="009B66A4" w14:paraId="0B9B9F23"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225185D4"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8</w:t>
            </w:r>
          </w:p>
        </w:tc>
        <w:tc>
          <w:tcPr>
            <w:tcW w:w="2508" w:type="dxa"/>
            <w:noWrap/>
            <w:vAlign w:val="center"/>
            <w:hideMark/>
          </w:tcPr>
          <w:p w14:paraId="2C87D0E9"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concomitant medication</w:t>
            </w:r>
          </w:p>
        </w:tc>
        <w:tc>
          <w:tcPr>
            <w:tcW w:w="9698" w:type="dxa"/>
            <w:noWrap/>
            <w:vAlign w:val="center"/>
            <w:hideMark/>
          </w:tcPr>
          <w:p w14:paraId="71664BA4"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#6</w:t>
            </w:r>
          </w:p>
        </w:tc>
        <w:tc>
          <w:tcPr>
            <w:tcW w:w="1260" w:type="dxa"/>
            <w:noWrap/>
            <w:vAlign w:val="center"/>
            <w:hideMark/>
          </w:tcPr>
          <w:p w14:paraId="7C70B9FA"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716</w:t>
            </w:r>
          </w:p>
        </w:tc>
      </w:tr>
      <w:tr w:rsidR="00BD3DBE" w:rsidRPr="009B66A4" w14:paraId="1F5B55F4"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6C34CA2B"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9</w:t>
            </w:r>
          </w:p>
        </w:tc>
        <w:tc>
          <w:tcPr>
            <w:tcW w:w="2508" w:type="dxa"/>
            <w:shd w:val="clear" w:color="auto" w:fill="F5F5F5"/>
            <w:noWrap/>
            <w:vAlign w:val="center"/>
            <w:hideMark/>
          </w:tcPr>
          <w:p w14:paraId="403CC643"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Services</w:t>
            </w:r>
          </w:p>
        </w:tc>
        <w:tc>
          <w:tcPr>
            <w:tcW w:w="9698" w:type="dxa"/>
            <w:shd w:val="clear" w:color="auto" w:fill="F5F5F5"/>
            <w:noWrap/>
            <w:vAlign w:val="center"/>
            <w:hideMark/>
          </w:tcPr>
          <w:p w14:paraId="768ECEE1"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#7</w:t>
            </w:r>
          </w:p>
        </w:tc>
        <w:tc>
          <w:tcPr>
            <w:tcW w:w="1260" w:type="dxa"/>
            <w:shd w:val="clear" w:color="auto" w:fill="F5F5F5"/>
            <w:noWrap/>
            <w:vAlign w:val="center"/>
            <w:hideMark/>
          </w:tcPr>
          <w:p w14:paraId="5FA38612"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425</w:t>
            </w:r>
          </w:p>
        </w:tc>
      </w:tr>
      <w:tr w:rsidR="00BD3DBE" w:rsidRPr="009B66A4" w14:paraId="459E6A60"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0DFD3D52"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10</w:t>
            </w:r>
          </w:p>
        </w:tc>
        <w:tc>
          <w:tcPr>
            <w:tcW w:w="2508" w:type="dxa"/>
            <w:noWrap/>
            <w:vAlign w:val="center"/>
            <w:hideMark/>
          </w:tcPr>
          <w:p w14:paraId="472637CC"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Combined for all categories</w:t>
            </w:r>
          </w:p>
        </w:tc>
        <w:tc>
          <w:tcPr>
            <w:tcW w:w="9698" w:type="dxa"/>
            <w:noWrap/>
            <w:vAlign w:val="center"/>
            <w:hideMark/>
          </w:tcPr>
          <w:p w14:paraId="2037721D"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 OR #8 OR #9</w:t>
            </w:r>
          </w:p>
        </w:tc>
        <w:tc>
          <w:tcPr>
            <w:tcW w:w="1260" w:type="dxa"/>
            <w:noWrap/>
            <w:vAlign w:val="center"/>
            <w:hideMark/>
          </w:tcPr>
          <w:p w14:paraId="0A2196AF"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4,895</w:t>
            </w:r>
          </w:p>
        </w:tc>
      </w:tr>
      <w:tr w:rsidR="00BD3DBE" w:rsidRPr="009B66A4" w14:paraId="2BE041E2"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6963C48E"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11</w:t>
            </w:r>
          </w:p>
        </w:tc>
        <w:tc>
          <w:tcPr>
            <w:tcW w:w="2508" w:type="dxa"/>
            <w:shd w:val="clear" w:color="auto" w:fill="F5F5F5"/>
            <w:vAlign w:val="center"/>
            <w:hideMark/>
          </w:tcPr>
          <w:p w14:paraId="33787A11"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698" w:type="dxa"/>
            <w:shd w:val="clear" w:color="auto" w:fill="F5F5F5"/>
            <w:noWrap/>
            <w:vAlign w:val="center"/>
            <w:hideMark/>
          </w:tcPr>
          <w:p w14:paraId="2FEFA908"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(letter[Publication Type] OR comment[Publication Type] OR editorial[Publication Type])</w:t>
            </w:r>
          </w:p>
        </w:tc>
        <w:tc>
          <w:tcPr>
            <w:tcW w:w="1260" w:type="dxa"/>
            <w:shd w:val="clear" w:color="auto" w:fill="F5F5F5"/>
            <w:noWrap/>
            <w:vAlign w:val="center"/>
            <w:hideMark/>
          </w:tcPr>
          <w:p w14:paraId="18345CFE"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2,259,240</w:t>
            </w:r>
          </w:p>
        </w:tc>
      </w:tr>
      <w:tr w:rsidR="00BD3DBE" w:rsidRPr="009B66A4" w14:paraId="442A28DB"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554C4B20"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12</w:t>
            </w:r>
          </w:p>
        </w:tc>
        <w:tc>
          <w:tcPr>
            <w:tcW w:w="2508" w:type="dxa"/>
            <w:vAlign w:val="center"/>
            <w:hideMark/>
          </w:tcPr>
          <w:p w14:paraId="6AEAE429"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698" w:type="dxa"/>
            <w:noWrap/>
            <w:vAlign w:val="center"/>
            <w:hideMark/>
          </w:tcPr>
          <w:p w14:paraId="503FFB6B"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(animals[MeSH Terms]) NOT (humans[MeSH Terms])</w:t>
            </w:r>
          </w:p>
        </w:tc>
        <w:tc>
          <w:tcPr>
            <w:tcW w:w="1260" w:type="dxa"/>
            <w:noWrap/>
            <w:vAlign w:val="center"/>
            <w:hideMark/>
          </w:tcPr>
          <w:p w14:paraId="419D21E5"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5,237,721</w:t>
            </w:r>
          </w:p>
        </w:tc>
      </w:tr>
      <w:tr w:rsidR="00BD3DBE" w:rsidRPr="009B66A4" w14:paraId="479DC462"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206E2B28"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13</w:t>
            </w:r>
          </w:p>
        </w:tc>
        <w:tc>
          <w:tcPr>
            <w:tcW w:w="2508" w:type="dxa"/>
            <w:shd w:val="clear" w:color="auto" w:fill="F5F5F5"/>
            <w:vAlign w:val="center"/>
            <w:hideMark/>
          </w:tcPr>
          <w:p w14:paraId="3D7A6FF4"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698" w:type="dxa"/>
            <w:shd w:val="clear" w:color="auto" w:fill="F5F5F5"/>
            <w:noWrap/>
            <w:vAlign w:val="center"/>
            <w:hideMark/>
          </w:tcPr>
          <w:p w14:paraId="1D25B5FD"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 xml:space="preserve">("Comorbidity" [Mesh] OR "comorbid*" OR "Multimorbidity" [tw] OR "Risk Factor" [tw] OR "Social Risk Factor*" [tw] OR "Health Correlates" [tw] OR "Population* at Risk" [tw] OR "Risk Score*" [tw] OR "Risk Factor Score*" [tw] OR "Charlson index" [tw] OR "Charlson score" [tw] OR "CCI" [tw] OR "Elixhauser Index" [tw] OR "Elixhauser score" [tw] OR "Elixhauser comorbidity measure" [tw] OR "ECM" [tw] OR "NCI Comorbidity Index" [tw] OR "Adult Comorbidity Evaluation-27" [tw] OR "ACE-27" [tw] OR "Cardiovascular Diseases"[Mesh] OR "Mental Disorders"[Mesh] OR "Neurodegenerative Diseases"[Mesh] OR "Neurodegenerative Diseases"[Mesh] OR "Respiratory Tract Diseases"[Mesh] OR "Musculoskeletal Diseases"[Mesh] OR "Gastrointestinal Diseases"[Mesh] OR "Hematologic Diseases"[Mesh] OR "Urogenital Diseases"[Mesh] OR "Infections"[Mesh] OR "Digestive system diseases" [Mesh] OR "Endocrine System Diseases" [Mesh] OR cardiac disorder* OR cardiac arrhythmia* OR Alzheimer disease OR dementia OR arthritis OR asthma OR cardiovascular diseases OR stroke OR chronic bronchitis OR chronic disease OR chronic hepatitis OR renal insufficiency OR chronic obstructive pulmonary disease OR COPD OR obstructive pulmonary disease OR cognition disorder* OR Respiratory disorder* OR depression OR depressive disorder* OR </w:t>
            </w:r>
            <w:r w:rsidRPr="009B66A4">
              <w:rPr>
                <w:rFonts w:ascii="Calibri" w:hAnsi="Calibri" w:cs="Calibri"/>
                <w:color w:val="000000"/>
                <w:sz w:val="20"/>
                <w:szCs w:val="20"/>
              </w:rPr>
              <w:lastRenderedPageBreak/>
              <w:t>renal dialysis OR myocardial infarction OR hypertension OR liver disease* OR mental disorder* OR lung disease* OR Hypotension OR Atrial Fibrillation OR Cerebrovascular Disorders OR Myocardial Ischemia OR Polypharmacy OR Peripheral Vascular Disease* OR Peptic Ulcer OR Sarcopenia OR neurological disorder* OR covid19 OR covid-19 OR influenza OR Respiratory syncytial virus OR ADHD OR "attention deficit hyperactivity disorder"[tw] OR cerebral palsy OR Delirium OR Lethargy OR Mania OR Amnesia OR Hallucination* OR Illusion* OR Apraxia* OR Anhedonia OR Catatonia OR confusion OR Musculoskeletal Disorder* OR nutritional deficien* OR malnutrition) NOT "rett syndrome"[MeSH]</w:t>
            </w:r>
          </w:p>
        </w:tc>
        <w:tc>
          <w:tcPr>
            <w:tcW w:w="1260" w:type="dxa"/>
            <w:shd w:val="clear" w:color="auto" w:fill="F5F5F5"/>
            <w:noWrap/>
            <w:vAlign w:val="center"/>
            <w:hideMark/>
          </w:tcPr>
          <w:p w14:paraId="4AC3764A"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lastRenderedPageBreak/>
              <w:t>15,087,396</w:t>
            </w:r>
          </w:p>
        </w:tc>
      </w:tr>
      <w:tr w:rsidR="00BD3DBE" w:rsidRPr="009B66A4" w14:paraId="01E7E0EE"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9" w:type="dxa"/>
            <w:noWrap/>
            <w:vAlign w:val="center"/>
            <w:hideMark/>
          </w:tcPr>
          <w:p w14:paraId="0A83B2BB"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14</w:t>
            </w:r>
          </w:p>
        </w:tc>
        <w:tc>
          <w:tcPr>
            <w:tcW w:w="2508" w:type="dxa"/>
            <w:vAlign w:val="center"/>
            <w:hideMark/>
          </w:tcPr>
          <w:p w14:paraId="796C5C37"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698" w:type="dxa"/>
            <w:noWrap/>
            <w:vAlign w:val="center"/>
            <w:hideMark/>
          </w:tcPr>
          <w:p w14:paraId="4D1A913B"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#11 OR #12 OR #13</w:t>
            </w:r>
          </w:p>
        </w:tc>
        <w:tc>
          <w:tcPr>
            <w:tcW w:w="1260" w:type="dxa"/>
            <w:noWrap/>
            <w:vAlign w:val="center"/>
            <w:hideMark/>
          </w:tcPr>
          <w:p w14:paraId="0F4269F7"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19,896,192</w:t>
            </w:r>
          </w:p>
        </w:tc>
      </w:tr>
      <w:tr w:rsidR="00BD3DBE" w:rsidRPr="009B66A4" w14:paraId="1760F15B" w14:textId="77777777" w:rsidTr="00BD3DB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29" w:type="dxa"/>
            <w:shd w:val="clear" w:color="auto" w:fill="F5F5F5"/>
            <w:noWrap/>
            <w:vAlign w:val="center"/>
            <w:hideMark/>
          </w:tcPr>
          <w:p w14:paraId="37ACC6C7"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15</w:t>
            </w:r>
          </w:p>
        </w:tc>
        <w:tc>
          <w:tcPr>
            <w:tcW w:w="2508" w:type="dxa"/>
            <w:shd w:val="clear" w:color="auto" w:fill="F5F5F5"/>
            <w:vAlign w:val="center"/>
            <w:hideMark/>
          </w:tcPr>
          <w:p w14:paraId="7A52A299"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Final</w:t>
            </w:r>
          </w:p>
        </w:tc>
        <w:tc>
          <w:tcPr>
            <w:tcW w:w="9698" w:type="dxa"/>
            <w:shd w:val="clear" w:color="auto" w:fill="F5F5F5"/>
            <w:noWrap/>
            <w:vAlign w:val="center"/>
            <w:hideMark/>
          </w:tcPr>
          <w:p w14:paraId="4F34C469"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#10 NOT #14</w:t>
            </w:r>
          </w:p>
        </w:tc>
        <w:tc>
          <w:tcPr>
            <w:tcW w:w="1260" w:type="dxa"/>
            <w:shd w:val="clear" w:color="auto" w:fill="F5F5F5"/>
            <w:noWrap/>
            <w:vAlign w:val="center"/>
            <w:hideMark/>
          </w:tcPr>
          <w:p w14:paraId="365FE1A9" w14:textId="3275E23C"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2,262</w:t>
            </w:r>
          </w:p>
        </w:tc>
      </w:tr>
    </w:tbl>
    <w:p w14:paraId="7D17E52E" w14:textId="77777777" w:rsidR="00BD3DBE" w:rsidRPr="009B66A4" w:rsidRDefault="00BD3DBE" w:rsidP="00BD3DBE">
      <w:pPr>
        <w:rPr>
          <w:rFonts w:ascii="Calibri" w:hAnsi="Calibri" w:cs="Calibri"/>
          <w:sz w:val="20"/>
          <w:szCs w:val="20"/>
        </w:rPr>
      </w:pPr>
    </w:p>
    <w:p w14:paraId="18C00D99" w14:textId="142A2E23" w:rsidR="00BD3DBE" w:rsidRPr="009B66A4" w:rsidRDefault="00BD3DBE" w:rsidP="00BD3DBE">
      <w:pPr>
        <w:rPr>
          <w:rFonts w:ascii="Calibri" w:hAnsi="Calibri" w:cs="Calibri"/>
          <w:sz w:val="20"/>
          <w:szCs w:val="20"/>
        </w:rPr>
      </w:pPr>
      <w:r w:rsidRPr="009B66A4">
        <w:rPr>
          <w:rFonts w:ascii="Calibri" w:hAnsi="Calibri" w:cs="Calibri"/>
          <w:sz w:val="20"/>
          <w:szCs w:val="20"/>
        </w:rPr>
        <w:t>Final Hits: 2262</w:t>
      </w:r>
    </w:p>
    <w:p w14:paraId="1AD6720A" w14:textId="56C271FA" w:rsidR="00BD3DBE" w:rsidRPr="009B66A4" w:rsidRDefault="00BD3DBE" w:rsidP="00BD3DBE">
      <w:pPr>
        <w:rPr>
          <w:rFonts w:ascii="Calibri" w:hAnsi="Calibri" w:cs="Calibri"/>
          <w:sz w:val="20"/>
          <w:szCs w:val="20"/>
        </w:rPr>
      </w:pPr>
      <w:r w:rsidRPr="009B66A4">
        <w:rPr>
          <w:rFonts w:ascii="Calibri" w:hAnsi="Calibri" w:cs="Calibri"/>
          <w:sz w:val="20"/>
          <w:szCs w:val="20"/>
        </w:rPr>
        <w:t xml:space="preserve">Update Date: </w:t>
      </w:r>
      <w:r w:rsidR="002E4BDD" w:rsidRPr="009B66A4">
        <w:rPr>
          <w:rFonts w:ascii="Calibri" w:hAnsi="Calibri" w:cs="Calibri"/>
          <w:sz w:val="20"/>
          <w:szCs w:val="20"/>
        </w:rPr>
        <w:t>09/20/2024</w:t>
      </w:r>
    </w:p>
    <w:p w14:paraId="44E03DFD" w14:textId="5896F5F7" w:rsidR="002E4BDD" w:rsidRPr="009B66A4" w:rsidRDefault="002E4BDD" w:rsidP="002E4BDD">
      <w:pPr>
        <w:rPr>
          <w:rFonts w:ascii="Calibri" w:hAnsi="Calibri" w:cs="Calibri"/>
          <w:sz w:val="20"/>
          <w:szCs w:val="20"/>
        </w:rPr>
      </w:pPr>
      <w:r w:rsidRPr="009B66A4">
        <w:rPr>
          <w:rFonts w:ascii="Calibri" w:hAnsi="Calibri" w:cs="Calibri"/>
          <w:sz w:val="20"/>
          <w:szCs w:val="20"/>
        </w:rPr>
        <w:t>Time: 4:03 PM</w:t>
      </w:r>
    </w:p>
    <w:p w14:paraId="535F4B9F" w14:textId="77777777" w:rsidR="002E4BDD" w:rsidRPr="009B66A4" w:rsidRDefault="002E4BDD">
      <w:pPr>
        <w:rPr>
          <w:rFonts w:ascii="Calibri" w:hAnsi="Calibri" w:cs="Calibri"/>
          <w:b/>
          <w:bCs/>
          <w:sz w:val="20"/>
          <w:szCs w:val="20"/>
        </w:rPr>
      </w:pPr>
      <w:r w:rsidRPr="009B66A4">
        <w:rPr>
          <w:rFonts w:ascii="Calibri" w:hAnsi="Calibri" w:cs="Calibri"/>
          <w:b/>
          <w:bCs/>
          <w:sz w:val="20"/>
          <w:szCs w:val="20"/>
        </w:rPr>
        <w:br w:type="page"/>
      </w:r>
    </w:p>
    <w:p w14:paraId="39709B5E" w14:textId="4940BDD2" w:rsidR="00BD3DBE" w:rsidRPr="009B66A4" w:rsidRDefault="00BD3DBE" w:rsidP="00BD3DBE">
      <w:pPr>
        <w:rPr>
          <w:rFonts w:ascii="Calibri" w:hAnsi="Calibri" w:cs="Calibri"/>
          <w:b/>
          <w:bCs/>
          <w:sz w:val="20"/>
          <w:szCs w:val="20"/>
        </w:rPr>
      </w:pPr>
      <w:r w:rsidRPr="009B66A4">
        <w:rPr>
          <w:rFonts w:ascii="Calibri" w:hAnsi="Calibri" w:cs="Calibri"/>
          <w:b/>
          <w:bCs/>
          <w:sz w:val="20"/>
          <w:szCs w:val="20"/>
        </w:rPr>
        <w:lastRenderedPageBreak/>
        <w:t>Table S</w:t>
      </w:r>
      <w:r w:rsidR="009B66A4">
        <w:rPr>
          <w:rFonts w:ascii="Calibri" w:hAnsi="Calibri" w:cs="Calibri"/>
          <w:b/>
          <w:bCs/>
          <w:sz w:val="20"/>
          <w:szCs w:val="20"/>
        </w:rPr>
        <w:t>4</w:t>
      </w:r>
      <w:r w:rsidRPr="009B66A4">
        <w:rPr>
          <w:rFonts w:ascii="Calibri" w:hAnsi="Calibri" w:cs="Calibri"/>
          <w:b/>
          <w:bCs/>
          <w:sz w:val="20"/>
          <w:szCs w:val="20"/>
        </w:rPr>
        <w:t xml:space="preserve">: Search Strategy in Embase </w:t>
      </w:r>
    </w:p>
    <w:tbl>
      <w:tblPr>
        <w:tblStyle w:val="GridTable4-Accent1"/>
        <w:tblW w:w="14395" w:type="dxa"/>
        <w:tblLook w:val="04A0" w:firstRow="1" w:lastRow="0" w:firstColumn="1" w:lastColumn="0" w:noHBand="0" w:noVBand="1"/>
      </w:tblPr>
      <w:tblGrid>
        <w:gridCol w:w="927"/>
        <w:gridCol w:w="2508"/>
        <w:gridCol w:w="9700"/>
        <w:gridCol w:w="1260"/>
      </w:tblGrid>
      <w:tr w:rsidR="00BD3DBE" w:rsidRPr="009B66A4" w14:paraId="75685907" w14:textId="77777777" w:rsidTr="00BD3DBE">
        <w:trPr>
          <w:cnfStyle w:val="100000000000" w:firstRow="1" w:lastRow="0" w:firstColumn="0" w:lastColumn="0" w:oddVBand="0" w:evenVBand="0" w:oddHBand="0" w:evenHBand="0" w:firstRowFirstColumn="0" w:firstRowLastColumn="0" w:lastRowFirstColumn="0" w:lastRowLastColumn="0"/>
          <w:trHeight w:val="604"/>
          <w:tblHeader/>
        </w:trPr>
        <w:tc>
          <w:tcPr>
            <w:cnfStyle w:val="001000000000" w:firstRow="0" w:lastRow="0" w:firstColumn="1" w:lastColumn="0" w:oddVBand="0" w:evenVBand="0" w:oddHBand="0" w:evenHBand="0" w:firstRowFirstColumn="0" w:firstRowLastColumn="0" w:lastRowFirstColumn="0" w:lastRowLastColumn="0"/>
            <w:tcW w:w="927" w:type="dxa"/>
            <w:vAlign w:val="center"/>
            <w:hideMark/>
          </w:tcPr>
          <w:p w14:paraId="6079F6C7" w14:textId="77777777" w:rsidR="00BD3DBE" w:rsidRPr="009B66A4" w:rsidRDefault="00BD3DBE" w:rsidP="00BD3DBE">
            <w:pPr>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Search number</w:t>
            </w:r>
          </w:p>
        </w:tc>
        <w:tc>
          <w:tcPr>
            <w:tcW w:w="2508" w:type="dxa"/>
            <w:vAlign w:val="center"/>
            <w:hideMark/>
          </w:tcPr>
          <w:p w14:paraId="41FD1406"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Category</w:t>
            </w:r>
          </w:p>
        </w:tc>
        <w:tc>
          <w:tcPr>
            <w:tcW w:w="9700" w:type="dxa"/>
            <w:vAlign w:val="center"/>
            <w:hideMark/>
          </w:tcPr>
          <w:p w14:paraId="24F5FAF4"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Query</w:t>
            </w:r>
          </w:p>
        </w:tc>
        <w:tc>
          <w:tcPr>
            <w:tcW w:w="1260" w:type="dxa"/>
            <w:vAlign w:val="center"/>
            <w:hideMark/>
          </w:tcPr>
          <w:p w14:paraId="0BA93524" w14:textId="77777777" w:rsidR="00BD3DBE" w:rsidRPr="009B66A4" w:rsidRDefault="00BD3DBE" w:rsidP="00BD3D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14:ligatures w14:val="none"/>
              </w:rPr>
            </w:pPr>
            <w:r w:rsidRPr="009B66A4">
              <w:rPr>
                <w:rFonts w:ascii="Calibri" w:eastAsia="Times New Roman" w:hAnsi="Calibri" w:cs="Calibri"/>
                <w:kern w:val="0"/>
                <w:sz w:val="20"/>
                <w:szCs w:val="20"/>
                <w:lang w:val="en-US"/>
                <w14:ligatures w14:val="none"/>
              </w:rPr>
              <w:t>Results</w:t>
            </w:r>
          </w:p>
        </w:tc>
      </w:tr>
      <w:tr w:rsidR="00BD3DBE" w:rsidRPr="009B66A4" w14:paraId="25BFA153"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3F2C4F2A"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w:t>
            </w:r>
          </w:p>
        </w:tc>
        <w:tc>
          <w:tcPr>
            <w:tcW w:w="2508" w:type="dxa"/>
            <w:shd w:val="clear" w:color="auto" w:fill="F5F5F5"/>
            <w:noWrap/>
            <w:vAlign w:val="center"/>
            <w:hideMark/>
          </w:tcPr>
          <w:p w14:paraId="21E5CE35"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w:t>
            </w:r>
          </w:p>
        </w:tc>
        <w:tc>
          <w:tcPr>
            <w:tcW w:w="9700" w:type="dxa"/>
            <w:shd w:val="clear" w:color="auto" w:fill="F5F5F5"/>
            <w:noWrap/>
            <w:vAlign w:val="center"/>
            <w:hideMark/>
          </w:tcPr>
          <w:p w14:paraId="082499D4"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sz w:val="20"/>
                <w:szCs w:val="20"/>
              </w:rPr>
              <w:t>exp Rett* syndrome/ or ('Rett*' or 'MECP2').tw.</w:t>
            </w:r>
          </w:p>
        </w:tc>
        <w:tc>
          <w:tcPr>
            <w:tcW w:w="1260" w:type="dxa"/>
            <w:shd w:val="clear" w:color="auto" w:fill="F5F5F5"/>
            <w:noWrap/>
            <w:vAlign w:val="center"/>
            <w:hideMark/>
          </w:tcPr>
          <w:p w14:paraId="7F2E13EF"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eastAsia="Times New Roman" w:hAnsi="Calibri" w:cs="Calibri"/>
                <w:color w:val="000000"/>
                <w:kern w:val="0"/>
                <w:sz w:val="20"/>
                <w:szCs w:val="20"/>
                <w:lang w:val="en-US"/>
                <w14:ligatures w14:val="none"/>
              </w:rPr>
              <w:t>8,976</w:t>
            </w:r>
          </w:p>
        </w:tc>
      </w:tr>
      <w:tr w:rsidR="00BD3DBE" w:rsidRPr="009B66A4" w14:paraId="45BA26C7"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439CBD67"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w:t>
            </w:r>
          </w:p>
        </w:tc>
        <w:tc>
          <w:tcPr>
            <w:tcW w:w="2508" w:type="dxa"/>
            <w:noWrap/>
            <w:vAlign w:val="center"/>
            <w:hideMark/>
          </w:tcPr>
          <w:p w14:paraId="6F1AE07F"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Comorbidity</w:t>
            </w:r>
          </w:p>
        </w:tc>
        <w:tc>
          <w:tcPr>
            <w:tcW w:w="9700" w:type="dxa"/>
            <w:noWrap/>
            <w:vAlign w:val="center"/>
            <w:hideMark/>
          </w:tcPr>
          <w:p w14:paraId="75235E4C"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exp Comorbidity/ or exp Cardiovascular Disease/ or exp Mental Disorders/ or exp Neurodegenerative Diseases/ or exp Neurodegenerative Diseases/ or exp Respiratory Tract Diseases/ or exp Musculoskeletal Diseases/ or exp Gastrointestinal Diseases/ or exp Hematologic Diseases/ or exp Urogenital Diseases/ or exp Infections/ or exp Digestive system diseases/ or exp Endocrine System Diseases/ or (comorbid* or Multimorbidity or Risk Factor or Social Risk Factor* or Health Correlates or Population* at Risk or Risk Score* or Risk Factor Score* or Charlson index or Charlson score or CCI or Elixhauser Index or Elixhauser score or Elixhauser comorbidity measure or ECM or NCI Comorbidity Index or Adult Comorbidity Evaluation-27 or ACE-27 or cardiac disorder* or cardiac arrhythmia* or Alzheimer disease or dementia or arthritis or asthma or cardiovascular diseases or stroke or chronic bronchitis or chronic disease or chronic hepatitis or renal insufficiency or chronic obstructive pulmonary disease or COPD or obstructive pulmonary disease or cognition disorder* or Respiratory disorder* or depression or depressive disorder* or renal dialysis or myocardial infarction or hypertension or liver disease* or mental disorder* or lung disease* or Hypotension or Atrial Fibrillation or Cerebrovascular Disorders or Myocardial Ischemia or Polypharmacy or Peripheral Vascular Disease* or Peptic Ulcer or Sarcopenia or neurological disorder* or covid19 or covid-19 or influenza or Respiratory syncytial virus or ADHD or attention deficit hyperactivity disorder or cerebral palsy or Delirium or Lethargy or Mania or Amnesia or Hallucination* or Illusion* or Apraxia* or Anhedonia or Catatonia or confusion or Musculoskeletal Disorder* or nutritional deficien* or malnutrition).tw.</w:t>
            </w:r>
          </w:p>
        </w:tc>
        <w:tc>
          <w:tcPr>
            <w:tcW w:w="1260" w:type="dxa"/>
            <w:noWrap/>
            <w:vAlign w:val="center"/>
            <w:hideMark/>
          </w:tcPr>
          <w:p w14:paraId="68E574AE"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20,498,310</w:t>
            </w:r>
          </w:p>
        </w:tc>
      </w:tr>
      <w:tr w:rsidR="00BD3DBE" w:rsidRPr="009B66A4" w14:paraId="76D114FB"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116E8BE5"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3</w:t>
            </w:r>
          </w:p>
        </w:tc>
        <w:tc>
          <w:tcPr>
            <w:tcW w:w="2508" w:type="dxa"/>
            <w:shd w:val="clear" w:color="auto" w:fill="F5F5F5"/>
            <w:noWrap/>
            <w:vAlign w:val="center"/>
            <w:hideMark/>
          </w:tcPr>
          <w:p w14:paraId="58F97D5F"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Complications</w:t>
            </w:r>
          </w:p>
        </w:tc>
        <w:tc>
          <w:tcPr>
            <w:tcW w:w="9700" w:type="dxa"/>
            <w:shd w:val="clear" w:color="auto" w:fill="F5F5F5"/>
            <w:noWrap/>
            <w:vAlign w:val="center"/>
            <w:hideMark/>
          </w:tcPr>
          <w:p w14:paraId="764B93A7"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 xml:space="preserve">(Irregular breathing pattern*OR Epilepsy or Dysphagia or Sleep dysfunction or Movement disorder* or Behavioral disorder* or Behavioral disturbance* or Behavioural disturbance* or Constipation or Gastrointestinal Reflux or Growth abnormal* or Underweight or Short stature or Gall bladder dysfunction or Prolonged QT interval or Low bone mineral mass or Premature adrenarche or Premature thelarche or Delayed menarche or Thyroid dysfunction or Scoliosis or Hip * placement or "Fracture* OR Fall*" or Lower respiratory tract infection* or Aspiration* or Aspiration pneumonia or pneumonia* or Diarrhea* or Gastroparesis or Convulsion* or Respiratory failure* or Bruxism or Oral health or Dental health or Dental problem* or Oral problem* or Seizure* or Asphyxiation or Respiratory Failure or Vomiting or Neurological disorder or Delayed development or Development delay or Hypotonia or Microcephaly or Weakness or paralysis or Stereotypic or repetitive hand movements or hand apraxia or hand dyspraxia or Wasting or dystonia or bradykinesia or Gastrostom* or failure to thrive or Biliary tract disorder* or Biliary tract disease* or cholangitis or cholestasis or bile reflux or cholelithiasis or cholecystolithiasis or choledocholithiasis or cholecystitis or Cholelithiasis or Biliary dyskinesia or Endocrine disorder* or Endocrine disease* or adrenal or diabetes or dwarfism or ovar* or testi* or gonad* or parathyroid or pitutar* or bone disease* or osteolysis or leg length inequality or dysotoses or gigantism or funnel chest or Gingivitis or Dental caries or dental attrition or dental erosion or Dental abrasion or Anterior open bite or Ogival palate or Mouth breathing or Tongue thrust* or Fever or Upper respiratory </w:t>
            </w:r>
            <w:r w:rsidRPr="009B66A4">
              <w:rPr>
                <w:rFonts w:ascii="Calibri" w:hAnsi="Calibri" w:cs="Calibri"/>
                <w:color w:val="000000"/>
                <w:sz w:val="20"/>
                <w:szCs w:val="20"/>
              </w:rPr>
              <w:lastRenderedPageBreak/>
              <w:t>infection or Atelectasis or Breathing irregularities or Abnormal Breathing or Cough or urinary tract infection* or weight loss or low weight).tw.</w:t>
            </w:r>
          </w:p>
        </w:tc>
        <w:tc>
          <w:tcPr>
            <w:tcW w:w="1260" w:type="dxa"/>
            <w:shd w:val="clear" w:color="auto" w:fill="F5F5F5"/>
            <w:noWrap/>
            <w:vAlign w:val="center"/>
            <w:hideMark/>
          </w:tcPr>
          <w:p w14:paraId="4C6C6E52"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lastRenderedPageBreak/>
              <w:t>4,834,234</w:t>
            </w:r>
          </w:p>
        </w:tc>
      </w:tr>
      <w:tr w:rsidR="00BD3DBE" w:rsidRPr="009B66A4" w14:paraId="2F6CB6DC"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4E1ECF2E"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w:t>
            </w:r>
          </w:p>
        </w:tc>
        <w:tc>
          <w:tcPr>
            <w:tcW w:w="2508" w:type="dxa"/>
            <w:noWrap/>
            <w:vAlign w:val="center"/>
            <w:hideMark/>
          </w:tcPr>
          <w:p w14:paraId="0EFEE411"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Comorbidity/complication</w:t>
            </w:r>
          </w:p>
        </w:tc>
        <w:tc>
          <w:tcPr>
            <w:tcW w:w="9700" w:type="dxa"/>
            <w:noWrap/>
            <w:vAlign w:val="center"/>
            <w:hideMark/>
          </w:tcPr>
          <w:p w14:paraId="6380172C"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 OR #3</w:t>
            </w:r>
          </w:p>
        </w:tc>
        <w:tc>
          <w:tcPr>
            <w:tcW w:w="1260" w:type="dxa"/>
            <w:noWrap/>
            <w:vAlign w:val="center"/>
            <w:hideMark/>
          </w:tcPr>
          <w:p w14:paraId="4405D943"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21,668,734</w:t>
            </w:r>
          </w:p>
        </w:tc>
      </w:tr>
      <w:tr w:rsidR="00BD3DBE" w:rsidRPr="009B66A4" w14:paraId="406FE646"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78AFCF64"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w:t>
            </w:r>
          </w:p>
        </w:tc>
        <w:tc>
          <w:tcPr>
            <w:tcW w:w="2508" w:type="dxa"/>
            <w:shd w:val="clear" w:color="auto" w:fill="F5F5F5"/>
            <w:noWrap/>
            <w:vAlign w:val="center"/>
            <w:hideMark/>
          </w:tcPr>
          <w:p w14:paraId="0BB41562"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comorbidity</w:t>
            </w:r>
          </w:p>
        </w:tc>
        <w:tc>
          <w:tcPr>
            <w:tcW w:w="9700" w:type="dxa"/>
            <w:shd w:val="clear" w:color="auto" w:fill="F5F5F5"/>
            <w:noWrap/>
            <w:vAlign w:val="center"/>
            <w:hideMark/>
          </w:tcPr>
          <w:p w14:paraId="16A5135E"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#4</w:t>
            </w:r>
          </w:p>
        </w:tc>
        <w:tc>
          <w:tcPr>
            <w:tcW w:w="1260" w:type="dxa"/>
            <w:shd w:val="clear" w:color="auto" w:fill="F5F5F5"/>
            <w:noWrap/>
            <w:vAlign w:val="center"/>
            <w:hideMark/>
          </w:tcPr>
          <w:p w14:paraId="55E4AA8E"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eastAsia="Times New Roman" w:hAnsi="Calibri" w:cs="Calibri"/>
                <w:color w:val="000000"/>
                <w:kern w:val="0"/>
                <w:sz w:val="20"/>
                <w:szCs w:val="20"/>
                <w:lang w:val="en-US"/>
                <w14:ligatures w14:val="none"/>
              </w:rPr>
              <w:t>7,206</w:t>
            </w:r>
          </w:p>
        </w:tc>
      </w:tr>
      <w:tr w:rsidR="00BD3DBE" w:rsidRPr="009B66A4" w14:paraId="30397B5C"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1FE1D95B"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6</w:t>
            </w:r>
          </w:p>
        </w:tc>
        <w:tc>
          <w:tcPr>
            <w:tcW w:w="2508" w:type="dxa"/>
            <w:noWrap/>
            <w:vAlign w:val="center"/>
            <w:hideMark/>
          </w:tcPr>
          <w:p w14:paraId="365C4E4D"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Concomitant medication</w:t>
            </w:r>
          </w:p>
        </w:tc>
        <w:tc>
          <w:tcPr>
            <w:tcW w:w="9700" w:type="dxa"/>
            <w:noWrap/>
            <w:vAlign w:val="center"/>
            <w:hideMark/>
          </w:tcPr>
          <w:p w14:paraId="0E34BC70"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(co-medication or baseline or baselines or co-medications or concomitan* or gastric acid suppressants or proton pump inhibitors or PPI or H2 antagonists or Pantoprazole or lansoprazole or omeprazole or rabeprazole or esomeprazole or non steroidal anti inflammatory drugs or NSAID* or cyclooxygenase inhibitors or cox 2 inhibitors or aspirin or corticosteroids or steroids or Glucocorticoids or prednisone or immunomodulators or psychotropic drugs or clozapine or chordiazepoxide or olanzapine or Zyprexa or olanza or risperidone or analgesics or opioids or Morphine or antidiabetics or metformin or antidiabetic drugs or insulin or Antibiotics or ATB or antibacterial or broad spectrum antibiotic or beta-lactam or sulphonamide or quinolone or fluoroquinolones or macrolide or aminoglycoside or tetracycline or captopril or beta-blockers or angiotensin II receptor blockers or ARB or candesartan or angiotensin converting enzyme inhibitors or ACEI or calcium antagonists or anticoagulants or low molecular weight heparin or cumarinic or acetylsalicylic acid or lipid lowering agents or fibrates or ezetimibe or statin or probiotics or antiepileptic drugs or Lamotrigine or Levetiracetam or Carbamazepine or Clonazepam or Lacosamide or Topiramate or Gabapentin or Clobazam or Phenobarbital or Zonisamide or Diazepam or Felbamate or Oxcarbazepine or Phenytoin or Rufinamide or Valproate or Valproic acid or Ethosuximide or Pregabalin or Lorazepam or Acetazolamide or Primidone or Vigabatrin or Divalproex sodium or Divalproex or Eslicarbazepine acetate or Antiarrhythmic drug* or Quinidine or procainamide or disopyramide or lidocaine or mexiletine or propafenone or flecainide or verapamil or diltiazem or amiodarone or dronedarone or dofetilide or ibutilide or propranolol or Sotalol or esmolol or adenosine or digoxin or Nutritional supplement* or Levocarnitine or prokinetic drug* or prokinetic agents* or domperidone or metoclopramide or cisapride or erythromycin or Metoclopramide or sedative* or hypnotic* or benzodiazepine* or lorazepam or alprazolam or temazepam or triazolam or zolpidem or zaleplon or zopiclone or eszopiclone or barbiturate* or phenobarbital or secobarbital or barbi* or ramelteon or suvorexant or chloral hydrate or doxepin or diphenhydramine or doxylamine or Midazolam or Triazolam).tw.</w:t>
            </w:r>
          </w:p>
        </w:tc>
        <w:tc>
          <w:tcPr>
            <w:tcW w:w="1260" w:type="dxa"/>
            <w:noWrap/>
            <w:vAlign w:val="center"/>
            <w:hideMark/>
          </w:tcPr>
          <w:p w14:paraId="182DCDB6"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4,159,500</w:t>
            </w:r>
          </w:p>
        </w:tc>
      </w:tr>
      <w:tr w:rsidR="00BD3DBE" w:rsidRPr="009B66A4" w14:paraId="44C21FA6"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283E53C3"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7</w:t>
            </w:r>
          </w:p>
        </w:tc>
        <w:tc>
          <w:tcPr>
            <w:tcW w:w="2508" w:type="dxa"/>
            <w:shd w:val="clear" w:color="auto" w:fill="F5F5F5"/>
            <w:noWrap/>
            <w:vAlign w:val="center"/>
            <w:hideMark/>
          </w:tcPr>
          <w:p w14:paraId="7A20236C"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Services</w:t>
            </w:r>
          </w:p>
        </w:tc>
        <w:tc>
          <w:tcPr>
            <w:tcW w:w="9700" w:type="dxa"/>
            <w:shd w:val="clear" w:color="auto" w:fill="F5F5F5"/>
            <w:noWrap/>
            <w:vAlign w:val="center"/>
            <w:hideMark/>
          </w:tcPr>
          <w:p w14:paraId="3DFBE04B"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9B66A4">
              <w:rPr>
                <w:rFonts w:ascii="Calibri" w:hAnsi="Calibri" w:cs="Calibri"/>
                <w:color w:val="000000"/>
                <w:sz w:val="20"/>
                <w:szCs w:val="20"/>
              </w:rPr>
              <w:t>(language therapy or speech therapy or feeding therapy or occupational therapy or communication therapy or vision therapy or hippotherapy or swim therapy or hydrotherapy or pool therapy or education or communication or augmentative therapy or Physical therapy or Speech therapy or language therapy or opthalm* or Ankle-foot orthose* or Brace* or Hand Splint* or Helmet* or Walker* or Wheelchair* or speech generating device* or Bath aid* or Shower aid* or Toilet aid*).tw.</w:t>
            </w:r>
          </w:p>
        </w:tc>
        <w:tc>
          <w:tcPr>
            <w:tcW w:w="1260" w:type="dxa"/>
            <w:shd w:val="clear" w:color="auto" w:fill="F5F5F5"/>
            <w:noWrap/>
            <w:vAlign w:val="center"/>
            <w:hideMark/>
          </w:tcPr>
          <w:p w14:paraId="02D8730B"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1,272,802</w:t>
            </w:r>
          </w:p>
        </w:tc>
      </w:tr>
      <w:tr w:rsidR="00BD3DBE" w:rsidRPr="009B66A4" w14:paraId="384A2F4E"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6644F50D"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8</w:t>
            </w:r>
          </w:p>
        </w:tc>
        <w:tc>
          <w:tcPr>
            <w:tcW w:w="2508" w:type="dxa"/>
            <w:noWrap/>
            <w:vAlign w:val="center"/>
            <w:hideMark/>
          </w:tcPr>
          <w:p w14:paraId="7E79EB14"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concomitant medication</w:t>
            </w:r>
          </w:p>
        </w:tc>
        <w:tc>
          <w:tcPr>
            <w:tcW w:w="9700" w:type="dxa"/>
            <w:noWrap/>
            <w:vAlign w:val="center"/>
            <w:hideMark/>
          </w:tcPr>
          <w:p w14:paraId="263C6C08"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#6</w:t>
            </w:r>
          </w:p>
        </w:tc>
        <w:tc>
          <w:tcPr>
            <w:tcW w:w="1260" w:type="dxa"/>
            <w:noWrap/>
            <w:vAlign w:val="center"/>
            <w:hideMark/>
          </w:tcPr>
          <w:p w14:paraId="77093BDB"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eastAsia="Times New Roman" w:hAnsi="Calibri" w:cs="Calibri"/>
                <w:color w:val="000000"/>
                <w:kern w:val="0"/>
                <w:sz w:val="20"/>
                <w:szCs w:val="20"/>
                <w:lang w:val="en-US"/>
                <w14:ligatures w14:val="none"/>
              </w:rPr>
              <w:t>896</w:t>
            </w:r>
          </w:p>
        </w:tc>
      </w:tr>
      <w:tr w:rsidR="00BD3DBE" w:rsidRPr="009B66A4" w14:paraId="3161E712"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110588CC"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9</w:t>
            </w:r>
          </w:p>
        </w:tc>
        <w:tc>
          <w:tcPr>
            <w:tcW w:w="2508" w:type="dxa"/>
            <w:shd w:val="clear" w:color="auto" w:fill="F5F5F5"/>
            <w:noWrap/>
            <w:vAlign w:val="center"/>
            <w:hideMark/>
          </w:tcPr>
          <w:p w14:paraId="1C5DBC33"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Disease and Services</w:t>
            </w:r>
          </w:p>
        </w:tc>
        <w:tc>
          <w:tcPr>
            <w:tcW w:w="9700" w:type="dxa"/>
            <w:shd w:val="clear" w:color="auto" w:fill="F5F5F5"/>
            <w:noWrap/>
            <w:vAlign w:val="center"/>
            <w:hideMark/>
          </w:tcPr>
          <w:p w14:paraId="5309ABF2"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 AND #7</w:t>
            </w:r>
          </w:p>
        </w:tc>
        <w:tc>
          <w:tcPr>
            <w:tcW w:w="1260" w:type="dxa"/>
            <w:shd w:val="clear" w:color="auto" w:fill="F5F5F5"/>
            <w:noWrap/>
            <w:vAlign w:val="center"/>
            <w:hideMark/>
          </w:tcPr>
          <w:p w14:paraId="35163E54"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475</w:t>
            </w:r>
          </w:p>
        </w:tc>
      </w:tr>
      <w:tr w:rsidR="00BD3DBE" w:rsidRPr="009B66A4" w14:paraId="61548A56"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13EA6D1E"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lastRenderedPageBreak/>
              <w:t>10</w:t>
            </w:r>
          </w:p>
        </w:tc>
        <w:tc>
          <w:tcPr>
            <w:tcW w:w="2508" w:type="dxa"/>
            <w:noWrap/>
            <w:vAlign w:val="center"/>
            <w:hideMark/>
          </w:tcPr>
          <w:p w14:paraId="2368C7A1"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Combined for all categories</w:t>
            </w:r>
          </w:p>
        </w:tc>
        <w:tc>
          <w:tcPr>
            <w:tcW w:w="9700" w:type="dxa"/>
            <w:noWrap/>
            <w:vAlign w:val="center"/>
            <w:hideMark/>
          </w:tcPr>
          <w:p w14:paraId="05BF3A04"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 OR #8 OR #9</w:t>
            </w:r>
          </w:p>
        </w:tc>
        <w:tc>
          <w:tcPr>
            <w:tcW w:w="1260" w:type="dxa"/>
            <w:noWrap/>
            <w:vAlign w:val="center"/>
            <w:hideMark/>
          </w:tcPr>
          <w:p w14:paraId="14216CB8"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eastAsia="Times New Roman" w:hAnsi="Calibri" w:cs="Calibri"/>
                <w:color w:val="000000"/>
                <w:kern w:val="0"/>
                <w:sz w:val="20"/>
                <w:szCs w:val="20"/>
                <w:lang w:val="en-US"/>
                <w14:ligatures w14:val="none"/>
              </w:rPr>
              <w:t>7,370</w:t>
            </w:r>
          </w:p>
        </w:tc>
      </w:tr>
      <w:tr w:rsidR="00BD3DBE" w:rsidRPr="009B66A4" w14:paraId="34394235" w14:textId="77777777" w:rsidTr="00BD3DB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034BE7A1"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11</w:t>
            </w:r>
          </w:p>
        </w:tc>
        <w:tc>
          <w:tcPr>
            <w:tcW w:w="2508" w:type="dxa"/>
            <w:shd w:val="clear" w:color="auto" w:fill="F5F5F5"/>
            <w:vAlign w:val="center"/>
            <w:hideMark/>
          </w:tcPr>
          <w:p w14:paraId="1201AB90"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700" w:type="dxa"/>
            <w:shd w:val="clear" w:color="auto" w:fill="F5F5F5"/>
            <w:noWrap/>
            <w:vAlign w:val="center"/>
            <w:hideMark/>
          </w:tcPr>
          <w:p w14:paraId="651F5CE6"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limit 10 to (human and english language)</w:t>
            </w:r>
          </w:p>
        </w:tc>
        <w:tc>
          <w:tcPr>
            <w:tcW w:w="1260" w:type="dxa"/>
            <w:shd w:val="clear" w:color="auto" w:fill="F5F5F5"/>
            <w:noWrap/>
            <w:vAlign w:val="center"/>
            <w:hideMark/>
          </w:tcPr>
          <w:p w14:paraId="7F3BCD20"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5,236</w:t>
            </w:r>
          </w:p>
        </w:tc>
      </w:tr>
      <w:tr w:rsidR="00BD3DBE" w:rsidRPr="009B66A4" w14:paraId="7B09378B" w14:textId="77777777" w:rsidTr="00BD3DBE">
        <w:trPr>
          <w:trHeight w:val="335"/>
        </w:trPr>
        <w:tc>
          <w:tcPr>
            <w:cnfStyle w:val="001000000000" w:firstRow="0" w:lastRow="0" w:firstColumn="1" w:lastColumn="0" w:oddVBand="0" w:evenVBand="0" w:oddHBand="0" w:evenHBand="0" w:firstRowFirstColumn="0" w:firstRowLastColumn="0" w:lastRowFirstColumn="0" w:lastRowLastColumn="0"/>
            <w:tcW w:w="927" w:type="dxa"/>
            <w:noWrap/>
            <w:vAlign w:val="center"/>
            <w:hideMark/>
          </w:tcPr>
          <w:p w14:paraId="13ADAF38"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12</w:t>
            </w:r>
          </w:p>
        </w:tc>
        <w:tc>
          <w:tcPr>
            <w:tcW w:w="2508" w:type="dxa"/>
            <w:vAlign w:val="center"/>
            <w:hideMark/>
          </w:tcPr>
          <w:p w14:paraId="0927A128"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Exclusion</w:t>
            </w:r>
          </w:p>
        </w:tc>
        <w:tc>
          <w:tcPr>
            <w:tcW w:w="9700" w:type="dxa"/>
            <w:noWrap/>
            <w:vAlign w:val="center"/>
            <w:hideMark/>
          </w:tcPr>
          <w:p w14:paraId="505E3CA5"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(exp Comorbidity/ or exp Cardiovascular Disease/ or exp Mental Disorders/ or exp Neurodegenerative Diseases/ or exp Neurodegenerative Diseases/ or exp Respiratory Tract Diseases/ or exp Musculoskeletal Diseases/ or exp Gastrointestinal Diseases/ or exp Hematologic Diseases/ or exp Urogenital Diseases/ or exp Infections/ or exp Digestive system diseases/ or exp Endocrine System Diseases/ or (comorbid* or Multimorbidity or Risk Factor or Social Risk Factor* or Health Correlates or Population* at Risk or Risk Score* or Risk Factor Score* or Charlson index or Charlson score or CCI or Elixhauser Index or Elixhauser score or Elixhauser comorbidity measure or ECM or NCI Comorbidity Index or Adult Comorbidity Evaluation-27 or ACE-27 or cardiac disorder* or cardiac arrhythmia* or Alzheimer disease or dementia or arthritis or asthma or cardiovascular diseases or stroke or chronic bronchitis or chronic disease or chronic hepatitis or renal insufficiency or chronic obstructive pulmonary disease or COPD or obstructive pulmonary disease or cognition disorder* or Respiratory disorder* or depression or depressive disorder* or renal dialysis or myocardial infarction or hypertension or liver disease* or mental disorder* or lung disease* or Hypotension or Atrial Fibrillation or Cerebrovascular Disorders or Myocardial Ischemia or Polypharmacy or Peripheral Vascular Disease* or Peptic Ulcer or Sarcopenia or neurological disorder* or covid19 or covid-19 or influenza or Respiratory syncytial virus or ADHD or attention deficit hyperactivity disorder or cerebral palsy or Delirium or Lethargy or Mania or Amnesia or Hallucination* or Illusion* or Apraxia* or Anhedonia or Catatonia or confusion or Musculoskeletal Disorder* or nutritional deficien* or malnutrition).tw.) not Rett* syndrome.tw.</w:t>
            </w:r>
          </w:p>
        </w:tc>
        <w:tc>
          <w:tcPr>
            <w:tcW w:w="1260" w:type="dxa"/>
            <w:noWrap/>
            <w:vAlign w:val="center"/>
            <w:hideMark/>
          </w:tcPr>
          <w:p w14:paraId="4A4959DC" w14:textId="77777777" w:rsidR="00BD3DBE" w:rsidRPr="009B66A4" w:rsidRDefault="00BD3DBE" w:rsidP="00BD3D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20,493,360</w:t>
            </w:r>
          </w:p>
        </w:tc>
      </w:tr>
      <w:tr w:rsidR="00BD3DBE" w:rsidRPr="009B66A4" w14:paraId="38E936FB" w14:textId="77777777" w:rsidTr="00BD3DB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27" w:type="dxa"/>
            <w:shd w:val="clear" w:color="auto" w:fill="F5F5F5"/>
            <w:noWrap/>
            <w:vAlign w:val="center"/>
            <w:hideMark/>
          </w:tcPr>
          <w:p w14:paraId="2BA4BB8B" w14:textId="77777777" w:rsidR="00BD3DBE" w:rsidRPr="009B66A4" w:rsidRDefault="00BD3DBE" w:rsidP="00BD3DBE">
            <w:pPr>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13</w:t>
            </w:r>
          </w:p>
        </w:tc>
        <w:tc>
          <w:tcPr>
            <w:tcW w:w="2508" w:type="dxa"/>
            <w:shd w:val="clear" w:color="auto" w:fill="F5F5F5"/>
            <w:vAlign w:val="center"/>
            <w:hideMark/>
          </w:tcPr>
          <w:p w14:paraId="69BB9AA3"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Final</w:t>
            </w:r>
          </w:p>
        </w:tc>
        <w:tc>
          <w:tcPr>
            <w:tcW w:w="9700" w:type="dxa"/>
            <w:shd w:val="clear" w:color="auto" w:fill="F5F5F5"/>
            <w:noWrap/>
            <w:vAlign w:val="center"/>
            <w:hideMark/>
          </w:tcPr>
          <w:p w14:paraId="5D284291" w14:textId="77777777" w:rsidR="00BD3DBE" w:rsidRPr="009B66A4" w:rsidRDefault="00BD3DBE"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hAnsi="Calibri" w:cs="Calibri"/>
                <w:color w:val="000000"/>
                <w:sz w:val="20"/>
                <w:szCs w:val="20"/>
              </w:rPr>
              <w:t>11 not 12</w:t>
            </w:r>
          </w:p>
        </w:tc>
        <w:tc>
          <w:tcPr>
            <w:tcW w:w="1260" w:type="dxa"/>
            <w:shd w:val="clear" w:color="auto" w:fill="F5F5F5"/>
            <w:noWrap/>
            <w:vAlign w:val="center"/>
            <w:hideMark/>
          </w:tcPr>
          <w:p w14:paraId="6C8EAF55" w14:textId="1135C846" w:rsidR="00BD3DBE" w:rsidRPr="009B66A4" w:rsidRDefault="002E4BDD" w:rsidP="00BD3D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14:ligatures w14:val="none"/>
              </w:rPr>
            </w:pPr>
            <w:r w:rsidRPr="009B66A4">
              <w:rPr>
                <w:rFonts w:ascii="Calibri" w:eastAsia="Times New Roman" w:hAnsi="Calibri" w:cs="Calibri"/>
                <w:color w:val="000000"/>
                <w:kern w:val="0"/>
                <w:sz w:val="20"/>
                <w:szCs w:val="20"/>
                <w:lang w:val="en-US"/>
                <w14:ligatures w14:val="none"/>
              </w:rPr>
              <w:t>3,943</w:t>
            </w:r>
          </w:p>
        </w:tc>
      </w:tr>
    </w:tbl>
    <w:p w14:paraId="65EF129F" w14:textId="77777777" w:rsidR="00BD3DBE" w:rsidRPr="009B66A4" w:rsidRDefault="00BD3DBE" w:rsidP="00BD3DBE">
      <w:pPr>
        <w:rPr>
          <w:rFonts w:ascii="Calibri" w:hAnsi="Calibri" w:cs="Calibri"/>
          <w:sz w:val="20"/>
          <w:szCs w:val="20"/>
        </w:rPr>
      </w:pPr>
    </w:p>
    <w:p w14:paraId="1FAA5CFE" w14:textId="72EA006F" w:rsidR="00BD3DBE" w:rsidRPr="009B66A4" w:rsidRDefault="00BD3DBE" w:rsidP="00BD3DBE">
      <w:pPr>
        <w:rPr>
          <w:rFonts w:ascii="Calibri" w:hAnsi="Calibri" w:cs="Calibri"/>
          <w:sz w:val="20"/>
          <w:szCs w:val="20"/>
        </w:rPr>
      </w:pPr>
      <w:r w:rsidRPr="009B66A4">
        <w:rPr>
          <w:rFonts w:ascii="Calibri" w:hAnsi="Calibri" w:cs="Calibri"/>
          <w:sz w:val="20"/>
          <w:szCs w:val="20"/>
        </w:rPr>
        <w:t xml:space="preserve">Final Embase Hits: </w:t>
      </w:r>
      <w:r w:rsidR="002E4BDD" w:rsidRPr="009B66A4">
        <w:rPr>
          <w:rFonts w:ascii="Calibri" w:hAnsi="Calibri" w:cs="Calibri"/>
          <w:sz w:val="20"/>
          <w:szCs w:val="20"/>
        </w:rPr>
        <w:t>3943</w:t>
      </w:r>
    </w:p>
    <w:p w14:paraId="74F9D77D" w14:textId="77777777" w:rsidR="002E4BDD" w:rsidRPr="009B66A4" w:rsidRDefault="002E4BDD" w:rsidP="002E4BDD">
      <w:pPr>
        <w:rPr>
          <w:rFonts w:ascii="Calibri" w:hAnsi="Calibri" w:cs="Calibri"/>
          <w:sz w:val="20"/>
          <w:szCs w:val="20"/>
        </w:rPr>
      </w:pPr>
      <w:r w:rsidRPr="009B66A4">
        <w:rPr>
          <w:rFonts w:ascii="Calibri" w:hAnsi="Calibri" w:cs="Calibri"/>
          <w:sz w:val="20"/>
          <w:szCs w:val="20"/>
        </w:rPr>
        <w:t>Update Date: 09/20/2024</w:t>
      </w:r>
    </w:p>
    <w:p w14:paraId="2FCCDF9B" w14:textId="643FAFFF" w:rsidR="002E4BDD" w:rsidRPr="009B66A4" w:rsidRDefault="002E4BDD" w:rsidP="002E4BDD">
      <w:pPr>
        <w:rPr>
          <w:rFonts w:ascii="Calibri" w:hAnsi="Calibri" w:cs="Calibri"/>
          <w:sz w:val="20"/>
          <w:szCs w:val="20"/>
        </w:rPr>
      </w:pPr>
      <w:r w:rsidRPr="009B66A4">
        <w:rPr>
          <w:rFonts w:ascii="Calibri" w:hAnsi="Calibri" w:cs="Calibri"/>
          <w:sz w:val="20"/>
          <w:szCs w:val="20"/>
        </w:rPr>
        <w:t>Time: 7:31 PM</w:t>
      </w:r>
    </w:p>
    <w:p w14:paraId="44B6AEA8" w14:textId="77777777" w:rsidR="00BD3DBE" w:rsidRPr="009B66A4" w:rsidRDefault="00BD3DBE" w:rsidP="00871031">
      <w:pPr>
        <w:tabs>
          <w:tab w:val="left" w:pos="1590"/>
        </w:tabs>
        <w:rPr>
          <w:rFonts w:ascii="Calibri" w:eastAsia="Times New Roman" w:hAnsi="Calibri" w:cs="Calibri"/>
          <w:b/>
          <w:bCs/>
          <w:color w:val="000000"/>
          <w:kern w:val="0"/>
          <w:sz w:val="20"/>
          <w:szCs w:val="20"/>
          <w14:ligatures w14:val="none"/>
        </w:rPr>
      </w:pPr>
    </w:p>
    <w:p w14:paraId="3E7CA311" w14:textId="77777777" w:rsidR="00BD3DBE" w:rsidRPr="009B66A4" w:rsidRDefault="00BD3DBE">
      <w:pPr>
        <w:rPr>
          <w:rFonts w:ascii="Calibri" w:eastAsia="Times New Roman" w:hAnsi="Calibri" w:cs="Calibri"/>
          <w:b/>
          <w:bCs/>
          <w:color w:val="000000"/>
          <w:kern w:val="0"/>
          <w:sz w:val="20"/>
          <w:szCs w:val="20"/>
          <w14:ligatures w14:val="none"/>
        </w:rPr>
      </w:pPr>
      <w:r w:rsidRPr="009B66A4">
        <w:rPr>
          <w:rFonts w:ascii="Calibri" w:eastAsia="Times New Roman" w:hAnsi="Calibri" w:cs="Calibri"/>
          <w:b/>
          <w:bCs/>
          <w:color w:val="000000"/>
          <w:kern w:val="0"/>
          <w:sz w:val="20"/>
          <w:szCs w:val="20"/>
          <w14:ligatures w14:val="none"/>
        </w:rPr>
        <w:br w:type="page"/>
      </w:r>
    </w:p>
    <w:p w14:paraId="12E8D44C" w14:textId="2F572D96" w:rsidR="009459E0" w:rsidRPr="009B66A4" w:rsidRDefault="009459E0" w:rsidP="00871031">
      <w:pPr>
        <w:tabs>
          <w:tab w:val="left" w:pos="1590"/>
        </w:tabs>
        <w:rPr>
          <w:rFonts w:ascii="Calibri" w:eastAsia="Times New Roman" w:hAnsi="Calibri" w:cs="Calibri"/>
          <w:b/>
          <w:bCs/>
          <w:color w:val="000000"/>
          <w:kern w:val="0"/>
          <w:sz w:val="20"/>
          <w:szCs w:val="20"/>
          <w:lang w:val="pt-BR"/>
          <w14:ligatures w14:val="none"/>
        </w:rPr>
      </w:pPr>
      <w:r w:rsidRPr="009B66A4">
        <w:rPr>
          <w:rFonts w:ascii="Calibri" w:eastAsia="Times New Roman" w:hAnsi="Calibri" w:cs="Calibri"/>
          <w:b/>
          <w:bCs/>
          <w:color w:val="000000"/>
          <w:kern w:val="0"/>
          <w:sz w:val="20"/>
          <w:szCs w:val="20"/>
          <w:lang w:val="pt-BR"/>
          <w14:ligatures w14:val="none"/>
        </w:rPr>
        <w:lastRenderedPageBreak/>
        <w:t>References</w:t>
      </w:r>
    </w:p>
    <w:p w14:paraId="6F5EEEBB" w14:textId="77777777" w:rsidR="009459E0" w:rsidRPr="009B66A4" w:rsidRDefault="009459E0" w:rsidP="00871031">
      <w:pPr>
        <w:tabs>
          <w:tab w:val="left" w:pos="1590"/>
        </w:tabs>
        <w:rPr>
          <w:rFonts w:ascii="Calibri" w:eastAsia="Times New Roman" w:hAnsi="Calibri" w:cs="Calibri"/>
          <w:b/>
          <w:bCs/>
          <w:color w:val="000000"/>
          <w:kern w:val="0"/>
          <w:sz w:val="20"/>
          <w:szCs w:val="20"/>
          <w:lang w:val="pt-BR"/>
          <w14:ligatures w14:val="none"/>
        </w:rPr>
      </w:pPr>
    </w:p>
    <w:p w14:paraId="7212E0C7" w14:textId="77777777" w:rsidR="00F96348" w:rsidRPr="009B66A4" w:rsidRDefault="00F96348" w:rsidP="00F96348">
      <w:pPr>
        <w:pStyle w:val="Bibliography"/>
        <w:rPr>
          <w:rFonts w:ascii="Calibri" w:hAnsi="Calibri" w:cs="Calibri"/>
          <w:sz w:val="20"/>
          <w:szCs w:val="20"/>
          <w:lang w:val="da-DK"/>
        </w:rPr>
      </w:pPr>
      <w:r w:rsidRPr="009B66A4">
        <w:rPr>
          <w:rFonts w:ascii="Calibri" w:eastAsia="Times New Roman" w:hAnsi="Calibri" w:cs="Calibri"/>
          <w:b/>
          <w:bCs/>
          <w:color w:val="000000"/>
          <w:sz w:val="20"/>
          <w:szCs w:val="20"/>
          <w14:ligatures w14:val="none"/>
        </w:rPr>
        <w:fldChar w:fldCharType="begin"/>
      </w:r>
      <w:r w:rsidRPr="009B66A4">
        <w:rPr>
          <w:rFonts w:ascii="Calibri" w:eastAsia="Times New Roman" w:hAnsi="Calibri" w:cs="Calibri"/>
          <w:b/>
          <w:bCs/>
          <w:color w:val="000000"/>
          <w:sz w:val="20"/>
          <w:szCs w:val="20"/>
          <w:lang w:val="pt-BR"/>
          <w14:ligatures w14:val="none"/>
        </w:rPr>
        <w:instrText xml:space="preserve"> ADDIN ZOTERO_BIBL {"uncited":[],"omitted":[],"custom":[]} CSL_BIBLIOGRAPHY </w:instrText>
      </w:r>
      <w:r w:rsidRPr="009B66A4">
        <w:rPr>
          <w:rFonts w:ascii="Calibri" w:eastAsia="Times New Roman" w:hAnsi="Calibri" w:cs="Calibri"/>
          <w:b/>
          <w:bCs/>
          <w:color w:val="000000"/>
          <w:sz w:val="20"/>
          <w:szCs w:val="20"/>
          <w14:ligatures w14:val="none"/>
        </w:rPr>
        <w:fldChar w:fldCharType="separate"/>
      </w:r>
      <w:r w:rsidRPr="009B66A4">
        <w:rPr>
          <w:rFonts w:ascii="Calibri" w:hAnsi="Calibri" w:cs="Calibri"/>
          <w:sz w:val="20"/>
          <w:szCs w:val="20"/>
          <w:lang w:val="pt-BR"/>
        </w:rPr>
        <w:t xml:space="preserve">1. </w:t>
      </w:r>
      <w:r w:rsidRPr="009B66A4">
        <w:rPr>
          <w:rFonts w:ascii="Calibri" w:hAnsi="Calibri" w:cs="Calibri"/>
          <w:sz w:val="20"/>
          <w:szCs w:val="20"/>
          <w:lang w:val="pt-BR"/>
        </w:rPr>
        <w:tab/>
        <w:t xml:space="preserve">Pepe G, Coco R, Corica D, Di Rosa G, Bossowski F, Skorupska M, et al. </w:t>
      </w:r>
      <w:r w:rsidRPr="009B66A4">
        <w:rPr>
          <w:rFonts w:ascii="Calibri" w:hAnsi="Calibri" w:cs="Calibri"/>
          <w:sz w:val="20"/>
          <w:szCs w:val="20"/>
        </w:rPr>
        <w:t xml:space="preserve">Prevalence of Endocrinopathies in a Cohort of Patients with Rett Syndrome: A Two-Center Observational Study. </w:t>
      </w:r>
      <w:r w:rsidRPr="009B66A4">
        <w:rPr>
          <w:rFonts w:ascii="Calibri" w:hAnsi="Calibri" w:cs="Calibri"/>
          <w:sz w:val="20"/>
          <w:szCs w:val="20"/>
          <w:lang w:val="da-DK"/>
        </w:rPr>
        <w:t>Genes. 2024;15: 287. doi:10.3390/genes15030287</w:t>
      </w:r>
    </w:p>
    <w:p w14:paraId="59463438"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lang w:val="da-DK"/>
        </w:rPr>
        <w:t xml:space="preserve">2. </w:t>
      </w:r>
      <w:r w:rsidRPr="009B66A4">
        <w:rPr>
          <w:rFonts w:ascii="Calibri" w:hAnsi="Calibri" w:cs="Calibri"/>
          <w:sz w:val="20"/>
          <w:szCs w:val="20"/>
          <w:lang w:val="da-DK"/>
        </w:rPr>
        <w:tab/>
        <w:t xml:space="preserve">May DM, Neul J, Piña-Garza JE, Kponee-Shovein K, Satija A, Mahendran M, et al. </w:t>
      </w:r>
      <w:r w:rsidRPr="009B66A4">
        <w:rPr>
          <w:rFonts w:ascii="Calibri" w:hAnsi="Calibri" w:cs="Calibri"/>
          <w:sz w:val="20"/>
          <w:szCs w:val="20"/>
        </w:rPr>
        <w:t xml:space="preserve">Gastrointestinal manifestations in pediatric and adult patients with Rett syndrome: an analysis of US claims and physician survey data. </w:t>
      </w:r>
      <w:r w:rsidRPr="009B66A4">
        <w:rPr>
          <w:rFonts w:ascii="Calibri" w:hAnsi="Calibri" w:cs="Calibri"/>
          <w:sz w:val="20"/>
          <w:szCs w:val="20"/>
          <w:lang w:val="da-DK"/>
        </w:rPr>
        <w:t>J Comp Eff Res. 2024;13: e230054. doi:10.57264/cer-2023-0054</w:t>
      </w:r>
    </w:p>
    <w:p w14:paraId="754E20FB"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3. </w:t>
      </w:r>
      <w:r w:rsidRPr="009B66A4">
        <w:rPr>
          <w:rFonts w:ascii="Calibri" w:hAnsi="Calibri" w:cs="Calibri"/>
          <w:sz w:val="20"/>
          <w:szCs w:val="20"/>
          <w:lang w:val="da-DK"/>
        </w:rPr>
        <w:tab/>
        <w:t xml:space="preserve">Weeda JE, Van Kuijk SMJ, Van Den Berg MP, Bastiaenen CHG, Borst HE, Van Rhijn LW, et al. </w:t>
      </w:r>
      <w:r w:rsidRPr="009B66A4">
        <w:rPr>
          <w:rFonts w:ascii="Calibri" w:hAnsi="Calibri" w:cs="Calibri"/>
          <w:sz w:val="20"/>
          <w:szCs w:val="20"/>
        </w:rPr>
        <w:t>Identification of Predictors for Progression of Scoliosis in Rett Syndrome. Dev Neurorehabilitation. 2024;27: 126–133. doi:10.1080/17518423.2024.2365794</w:t>
      </w:r>
    </w:p>
    <w:p w14:paraId="515438D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 </w:t>
      </w:r>
      <w:r w:rsidRPr="009B66A4">
        <w:rPr>
          <w:rFonts w:ascii="Calibri" w:hAnsi="Calibri" w:cs="Calibri"/>
          <w:sz w:val="20"/>
          <w:szCs w:val="20"/>
        </w:rPr>
        <w:tab/>
        <w:t>Leoncini S, Boasiako L, Di Lucia S, Beker A, Scandurra V, Vignoli A, et al. 24-h continuous non-invasive multiparameter home monitoring of vitals in patients with Rett syndrome by an innovative wearable technology: evidence of an overlooked chronic fatigue status. Front Neurol. 2024;15: 1388506. doi:10.3389/fneur.2024.1388506</w:t>
      </w:r>
    </w:p>
    <w:p w14:paraId="271478A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 </w:t>
      </w:r>
      <w:r w:rsidRPr="009B66A4">
        <w:rPr>
          <w:rFonts w:ascii="Calibri" w:hAnsi="Calibri" w:cs="Calibri"/>
          <w:sz w:val="20"/>
          <w:szCs w:val="20"/>
        </w:rPr>
        <w:tab/>
        <w:t>Zade K, Campbell C, Bach S, Fernandes H, Tropea D. Rett syndrome in Ireland: a demographic study. Orphanet J Rare Dis. 2024;19: 34. doi:10.1186/s13023-024-03046-8</w:t>
      </w:r>
    </w:p>
    <w:p w14:paraId="57665B0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 </w:t>
      </w:r>
      <w:r w:rsidRPr="009B66A4">
        <w:rPr>
          <w:rFonts w:ascii="Calibri" w:hAnsi="Calibri" w:cs="Calibri"/>
          <w:sz w:val="20"/>
          <w:szCs w:val="20"/>
        </w:rPr>
        <w:tab/>
        <w:t>Peri F, Cherchi C, Chiarini Testa MB, Pavone M, Verrillo E, Cutrera R. The Efficacy of Noninvasive Ventilation in Patients Affected by Rett Syndrome With Hypoventilation. Pediatr Neurol. 2024;158: 81–85. doi:10.1016/j.pediatrneurol.2024.05.005</w:t>
      </w:r>
    </w:p>
    <w:p w14:paraId="0CBE7DF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 </w:t>
      </w:r>
      <w:r w:rsidRPr="009B66A4">
        <w:rPr>
          <w:rFonts w:ascii="Calibri" w:hAnsi="Calibri" w:cs="Calibri"/>
          <w:sz w:val="20"/>
          <w:szCs w:val="20"/>
        </w:rPr>
        <w:tab/>
        <w:t>Berger TD, Fogel Berger C, Gara S, Ben-Zeev B, Weiss B. Nutritional and gastrointestinal manifestations in Rett syndrome: long-term follow-up. Eur J Pediatr. 2024;183: 4085–4091. doi:10.1007/s00431-024-05668-3</w:t>
      </w:r>
    </w:p>
    <w:p w14:paraId="02F2906C"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8. </w:t>
      </w:r>
      <w:r w:rsidRPr="009B66A4">
        <w:rPr>
          <w:rFonts w:ascii="Calibri" w:hAnsi="Calibri" w:cs="Calibri"/>
          <w:sz w:val="20"/>
          <w:szCs w:val="20"/>
        </w:rPr>
        <w:tab/>
        <w:t xml:space="preserve">Huang C-H, Wong L-C, Chu Y-J, Hsu C-J, Wang H-P, Tsai W-C, et al. The sleep problems in individuals with Rett syndrome and their caregivers. </w:t>
      </w:r>
      <w:r w:rsidRPr="009B66A4">
        <w:rPr>
          <w:rFonts w:ascii="Calibri" w:hAnsi="Calibri" w:cs="Calibri"/>
          <w:sz w:val="20"/>
          <w:szCs w:val="20"/>
          <w:lang w:val="pt-BR"/>
        </w:rPr>
        <w:t>Autism. 2024;28: 3118–3130. doi:10.1177/13623613241254620</w:t>
      </w:r>
    </w:p>
    <w:p w14:paraId="2E9B3B1A"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9. </w:t>
      </w:r>
      <w:r w:rsidRPr="009B66A4">
        <w:rPr>
          <w:rFonts w:ascii="Calibri" w:hAnsi="Calibri" w:cs="Calibri"/>
          <w:sz w:val="20"/>
          <w:szCs w:val="20"/>
          <w:lang w:val="pt-BR"/>
        </w:rPr>
        <w:tab/>
        <w:t xml:space="preserve">Galán-Olleros M, González-Alguacil E, Soto-Insuga V, Vara-Arias MT, Ortiz-Cabrera NV, Serrano JI, et al. </w:t>
      </w:r>
      <w:r w:rsidRPr="009B66A4">
        <w:rPr>
          <w:rFonts w:ascii="Calibri" w:hAnsi="Calibri" w:cs="Calibri"/>
          <w:sz w:val="20"/>
          <w:szCs w:val="20"/>
        </w:rPr>
        <w:t>Orthopedic Conditions and Interplay with Functional Abilities and MECP2 Variant Subtype in Rett Syndrome Patients. J Autism Dev Disord. 2025;55: 2873–2883. doi:10.1007/s10803-024-06399-y</w:t>
      </w:r>
    </w:p>
    <w:p w14:paraId="1437334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 </w:t>
      </w:r>
      <w:r w:rsidRPr="009B66A4">
        <w:rPr>
          <w:rFonts w:ascii="Calibri" w:hAnsi="Calibri" w:cs="Calibri"/>
          <w:sz w:val="20"/>
          <w:szCs w:val="20"/>
        </w:rPr>
        <w:tab/>
        <w:t>Sideris G, Panagoulis E, Grigoropoulos C, Mermiri D, Nikolopoulos T, Delides A. Fiberoptic Endoscopic Evaluation of Swallowing Findings in Children With Rett Syndrome. Clin Pediatr (Phila). 2024;63: 551–556. doi:10.1177/00099228231184673</w:t>
      </w:r>
    </w:p>
    <w:p w14:paraId="24B82688"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11. </w:t>
      </w:r>
      <w:r w:rsidRPr="009B66A4">
        <w:rPr>
          <w:rFonts w:ascii="Calibri" w:hAnsi="Calibri" w:cs="Calibri"/>
          <w:sz w:val="20"/>
          <w:szCs w:val="20"/>
        </w:rPr>
        <w:tab/>
        <w:t xml:space="preserve">Wong LC, Hsu C-J, Wu Y-T, Chu H-F, Lin J-H, Wang H-P, et al. Investigating the impact of probiotic on neurological outcomes in Rett syndrome: A randomized, double-blind, and placebo-controlled pilot study. </w:t>
      </w:r>
      <w:r w:rsidRPr="009B66A4">
        <w:rPr>
          <w:rFonts w:ascii="Calibri" w:hAnsi="Calibri" w:cs="Calibri"/>
          <w:sz w:val="20"/>
          <w:szCs w:val="20"/>
          <w:lang w:val="da-DK"/>
        </w:rPr>
        <w:t>Autism. 2024;28: 2267–2281. doi:10.1177/13623613231225899</w:t>
      </w:r>
    </w:p>
    <w:p w14:paraId="47AAF82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12. </w:t>
      </w:r>
      <w:r w:rsidRPr="009B66A4">
        <w:rPr>
          <w:rFonts w:ascii="Calibri" w:hAnsi="Calibri" w:cs="Calibri"/>
          <w:sz w:val="20"/>
          <w:szCs w:val="20"/>
          <w:lang w:val="da-DK"/>
        </w:rPr>
        <w:tab/>
        <w:t xml:space="preserve">Yıldız N, Serdaroğlu E, Kart PÖ, Besen S, Kanmaz S, Toprak DE, et al. </w:t>
      </w:r>
      <w:r w:rsidRPr="009B66A4">
        <w:rPr>
          <w:rFonts w:ascii="Calibri" w:hAnsi="Calibri" w:cs="Calibri"/>
          <w:sz w:val="20"/>
          <w:szCs w:val="20"/>
        </w:rPr>
        <w:t>Evaluation of seizure semiology, genetics, magnetic resonance imaging, and electroencephalogram findings in children with Rett syndrome: A multicenter retrospective study. Epilepsy Res. 2024;205: 107399. doi:10.1016/j.eplepsyres.2024.107399</w:t>
      </w:r>
    </w:p>
    <w:p w14:paraId="04FF250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13. </w:t>
      </w:r>
      <w:r w:rsidRPr="009B66A4">
        <w:rPr>
          <w:rFonts w:ascii="Calibri" w:hAnsi="Calibri" w:cs="Calibri"/>
          <w:sz w:val="20"/>
          <w:szCs w:val="20"/>
        </w:rPr>
        <w:tab/>
        <w:t>Vilvarajan S, McDonald M, Douglas L, Newham J, Kirkland R, Tzannes G, et al. Multidisciplinary Management of Rett Syndrome: Twenty Years’ Experience. Genes. 2023;14: 1607. doi:10.3390/genes14081607</w:t>
      </w:r>
    </w:p>
    <w:p w14:paraId="4B3D034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 </w:t>
      </w:r>
      <w:r w:rsidRPr="009B66A4">
        <w:rPr>
          <w:rFonts w:ascii="Calibri" w:hAnsi="Calibri" w:cs="Calibri"/>
          <w:sz w:val="20"/>
          <w:szCs w:val="20"/>
        </w:rPr>
        <w:tab/>
        <w:t>Hirano D, Goto Y, Shoji H, Taniguchi T. Relationship between hand stereotypies and purposeful hand use and factors causing skin injuries and joint contractures in individuals with Rett syndrome. Early Hum Dev. 2023;183: 105821. doi:10.1016/j.earlhumdev.2023.105821</w:t>
      </w:r>
    </w:p>
    <w:p w14:paraId="7EB3339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15. </w:t>
      </w:r>
      <w:r w:rsidRPr="009B66A4">
        <w:rPr>
          <w:rFonts w:ascii="Calibri" w:hAnsi="Calibri" w:cs="Calibri"/>
          <w:sz w:val="20"/>
          <w:szCs w:val="20"/>
        </w:rPr>
        <w:tab/>
        <w:t>Downs J, Blackmore AM, Wong K, Buckley N, Lotan M, Elefant C, et al. Can telehealth increase physical activity in individuals with Rett syndrome? A multicentre randomized controlled trial. Dev Med Child Neurol. 2023;65: 489–497. doi:10.1111/dmcn.15436</w:t>
      </w:r>
    </w:p>
    <w:p w14:paraId="3BCF6400"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16. </w:t>
      </w:r>
      <w:r w:rsidRPr="009B66A4">
        <w:rPr>
          <w:rFonts w:ascii="Calibri" w:hAnsi="Calibri" w:cs="Calibri"/>
          <w:sz w:val="20"/>
          <w:szCs w:val="20"/>
          <w:lang w:val="da-DK"/>
        </w:rPr>
        <w:tab/>
        <w:t xml:space="preserve">Neul JL, Percy AK, Benke TA, Berry-Kravis EM, Glaze DG, Marsh ED, et al. </w:t>
      </w:r>
      <w:r w:rsidRPr="009B66A4">
        <w:rPr>
          <w:rFonts w:ascii="Calibri" w:hAnsi="Calibri" w:cs="Calibri"/>
          <w:sz w:val="20"/>
          <w:szCs w:val="20"/>
        </w:rPr>
        <w:t>Trofinetide for the treatment of Rett syndrome: a randomized phase 3 study. Nat Med. 2023;29: 1468–1475. doi:10.1038/s41591-023-02398-1</w:t>
      </w:r>
    </w:p>
    <w:p w14:paraId="1E3C31B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17. </w:t>
      </w:r>
      <w:r w:rsidRPr="009B66A4">
        <w:rPr>
          <w:rFonts w:ascii="Calibri" w:hAnsi="Calibri" w:cs="Calibri"/>
          <w:sz w:val="20"/>
          <w:szCs w:val="20"/>
        </w:rPr>
        <w:tab/>
        <w:t>Gomathi M, Dhivya V, Padmavathi V, Pradeepkumar M, Robert Wilson S, Kumar NS, et al. Genetic Instability and Disease Progression of Indian Rett Syndrome Patients. Mol Neurobiol. 2024;61: 4868–4878. doi:10.1007/s12035-023-03882-y</w:t>
      </w:r>
    </w:p>
    <w:p w14:paraId="064CDC0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18. </w:t>
      </w:r>
      <w:r w:rsidRPr="009B66A4">
        <w:rPr>
          <w:rFonts w:ascii="Calibri" w:hAnsi="Calibri" w:cs="Calibri"/>
          <w:sz w:val="20"/>
          <w:szCs w:val="20"/>
        </w:rPr>
        <w:tab/>
        <w:t>Stone LE, Kelly MP, Alexander M, Brandel M, Lam SK, Ravindra VM. Rett Syndrome–Associated Scoliosis: Analysis of National Trends and Treatment Patterns of a Rare Indication for Posterior Instrumented Fusion. Spine. 2023;48: E409–E416. doi:10.1097/BRS.0000000000004802</w:t>
      </w:r>
    </w:p>
    <w:p w14:paraId="4DA2C7F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19. </w:t>
      </w:r>
      <w:r w:rsidRPr="009B66A4">
        <w:rPr>
          <w:rFonts w:ascii="Calibri" w:hAnsi="Calibri" w:cs="Calibri"/>
          <w:sz w:val="20"/>
          <w:szCs w:val="20"/>
        </w:rPr>
        <w:tab/>
        <w:t>Kay C, Leonard H, Smith J, Wong K, Downs J. Genotype and sleep independently predict mental health in Rett syndrome: an observational study. J Med Genet. 2023;60: 951–959. doi:10.1136/jmg-2022-108905</w:t>
      </w:r>
    </w:p>
    <w:p w14:paraId="78DF635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20. </w:t>
      </w:r>
      <w:r w:rsidRPr="009B66A4">
        <w:rPr>
          <w:rFonts w:ascii="Calibri" w:hAnsi="Calibri" w:cs="Calibri"/>
          <w:sz w:val="20"/>
          <w:szCs w:val="20"/>
        </w:rPr>
        <w:tab/>
        <w:t>Taylor TN, Bridges CS, Nordstrom LA, Hanson DS, Gerow FT, Smith BG. Early Complications After Posterior Spinal Fusion in Patients With Rett Syndrome. J Pediatr Orthop. 2023;43: e326–e330. doi:10.1097/BPO.0000000000002384</w:t>
      </w:r>
    </w:p>
    <w:p w14:paraId="2CF2FB6A"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21. </w:t>
      </w:r>
      <w:r w:rsidRPr="009B66A4">
        <w:rPr>
          <w:rFonts w:ascii="Calibri" w:hAnsi="Calibri" w:cs="Calibri"/>
          <w:sz w:val="20"/>
          <w:szCs w:val="20"/>
        </w:rPr>
        <w:tab/>
        <w:t>Menachem S, Hershkovich O, Ackshota N, Friedlander A, Givon U, Ben-Zeev B, et al. Scoliosis in RETT Syndrome: A National Referral Centre Experience. Clin Spine Surg. 2023;36: E75–E79. doi:10.1097/BSD.0000000000001381</w:t>
      </w:r>
    </w:p>
    <w:p w14:paraId="00A3E04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22. </w:t>
      </w:r>
      <w:r w:rsidRPr="009B66A4">
        <w:rPr>
          <w:rFonts w:ascii="Calibri" w:hAnsi="Calibri" w:cs="Calibri"/>
          <w:sz w:val="20"/>
          <w:szCs w:val="20"/>
        </w:rPr>
        <w:tab/>
        <w:t>Zade K, Campbell C, Bach S, Fernandes H, Tropea D. Rett Syndrome in Ireland: A demographic study. Neurology; 2023. doi:10.1101/2023.02.13.23285763</w:t>
      </w:r>
    </w:p>
    <w:p w14:paraId="29DF1A25"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23. </w:t>
      </w:r>
      <w:r w:rsidRPr="009B66A4">
        <w:rPr>
          <w:rFonts w:ascii="Calibri" w:hAnsi="Calibri" w:cs="Calibri"/>
          <w:sz w:val="20"/>
          <w:szCs w:val="20"/>
        </w:rPr>
        <w:tab/>
        <w:t xml:space="preserve">Rodocanachi Roidi ML, Cozzi F, Isaias IU, Grange F, Ferrari EP, Ripamonti E. Clinical and genetic correlations of scoliosis in Rett syndrome. </w:t>
      </w:r>
      <w:r w:rsidRPr="009B66A4">
        <w:rPr>
          <w:rFonts w:ascii="Calibri" w:hAnsi="Calibri" w:cs="Calibri"/>
          <w:sz w:val="20"/>
          <w:szCs w:val="20"/>
          <w:lang w:val="pt-BR"/>
        </w:rPr>
        <w:t>Eur Spine J. 2022;31: 2987–2993. doi:10.1007/s00586-022-07217-8</w:t>
      </w:r>
    </w:p>
    <w:p w14:paraId="6EFAD2E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24. </w:t>
      </w:r>
      <w:r w:rsidRPr="009B66A4">
        <w:rPr>
          <w:rFonts w:ascii="Calibri" w:hAnsi="Calibri" w:cs="Calibri"/>
          <w:sz w:val="20"/>
          <w:szCs w:val="20"/>
          <w:lang w:val="pt-BR"/>
        </w:rPr>
        <w:tab/>
        <w:t xml:space="preserve">Leoncini S, Signorini C, Boasiako L, Scandurra V, Hayek J, Ciccoli L, et al. </w:t>
      </w:r>
      <w:r w:rsidRPr="009B66A4">
        <w:rPr>
          <w:rFonts w:ascii="Calibri" w:hAnsi="Calibri" w:cs="Calibri"/>
          <w:sz w:val="20"/>
          <w:szCs w:val="20"/>
        </w:rPr>
        <w:t>Breathing Abnormalities During Sleep and Wakefulness in Rett Syndrome: Clinical Relevance and Paradoxical Relationship With Circulating Pro-oxidant Markers. Front Neurol. 2022;13: 833239. doi:10.3389/fneur.2022.833239</w:t>
      </w:r>
    </w:p>
    <w:p w14:paraId="277B09D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25. </w:t>
      </w:r>
      <w:r w:rsidRPr="009B66A4">
        <w:rPr>
          <w:rFonts w:ascii="Calibri" w:hAnsi="Calibri" w:cs="Calibri"/>
          <w:sz w:val="20"/>
          <w:szCs w:val="20"/>
        </w:rPr>
        <w:tab/>
        <w:t>Jacoby P, Williams K, Reddihough D, Leonard H, Whitehouse A, Downs J. Modelling quality of life in children with intellectual disability using regression trees. Dev Med Child Neurol. 2022;64: 1145–1155. doi:10.1111/dmcn.15206</w:t>
      </w:r>
    </w:p>
    <w:p w14:paraId="3634FAE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26. </w:t>
      </w:r>
      <w:r w:rsidRPr="009B66A4">
        <w:rPr>
          <w:rFonts w:ascii="Calibri" w:hAnsi="Calibri" w:cs="Calibri"/>
          <w:sz w:val="20"/>
          <w:szCs w:val="20"/>
        </w:rPr>
        <w:tab/>
        <w:t>Peron A, Canevini MP, Ghelma F, Arancio R, Savini MN, Vignoli A. Phenotypes in adult patients with Rett syndrome: results of a 13-year experience and insights into healthcare transition. J Med Genet. 2022;59: 39–45. doi:10.1136/jmedgenet-2020-107333</w:t>
      </w:r>
    </w:p>
    <w:p w14:paraId="298B7266"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27. </w:t>
      </w:r>
      <w:r w:rsidRPr="009B66A4">
        <w:rPr>
          <w:rFonts w:ascii="Calibri" w:hAnsi="Calibri" w:cs="Calibri"/>
          <w:sz w:val="20"/>
          <w:szCs w:val="20"/>
        </w:rPr>
        <w:tab/>
        <w:t xml:space="preserve">Buchanan CB, Stallworth JL, Joy AE, Dixon RE, Scott AE, Beisang AA, et al. Anxiety-like behavior and anxiolytic treatment in the Rett syndrome natural history study. </w:t>
      </w:r>
      <w:r w:rsidRPr="009B66A4">
        <w:rPr>
          <w:rFonts w:ascii="Calibri" w:hAnsi="Calibri" w:cs="Calibri"/>
          <w:sz w:val="20"/>
          <w:szCs w:val="20"/>
          <w:lang w:val="pt-BR"/>
        </w:rPr>
        <w:t>J Neurodev Disord. 2022;14: 31. doi:10.1186/s11689-022-09432-2</w:t>
      </w:r>
    </w:p>
    <w:p w14:paraId="65B0892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28. </w:t>
      </w:r>
      <w:r w:rsidRPr="009B66A4">
        <w:rPr>
          <w:rFonts w:ascii="Calibri" w:hAnsi="Calibri" w:cs="Calibri"/>
          <w:sz w:val="20"/>
          <w:szCs w:val="20"/>
          <w:lang w:val="pt-BR"/>
        </w:rPr>
        <w:tab/>
        <w:t xml:space="preserve">Migliorelli C, Medina‐Rivera I, Bachiller A, Tost A, Alonso JF, López‐Sala A, et al. </w:t>
      </w:r>
      <w:r w:rsidRPr="009B66A4">
        <w:rPr>
          <w:rFonts w:ascii="Calibri" w:hAnsi="Calibri" w:cs="Calibri"/>
          <w:sz w:val="20"/>
          <w:szCs w:val="20"/>
        </w:rPr>
        <w:t>Cognitive stimulation has potential for brain activation in individuals with Rett syndrome. J Intellect Disabil Res. 2022;66: 213–224. doi:10.1111/jir.12902</w:t>
      </w:r>
    </w:p>
    <w:p w14:paraId="408A455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29. </w:t>
      </w:r>
      <w:r w:rsidRPr="009B66A4">
        <w:rPr>
          <w:rFonts w:ascii="Calibri" w:hAnsi="Calibri" w:cs="Calibri"/>
          <w:sz w:val="20"/>
          <w:szCs w:val="20"/>
        </w:rPr>
        <w:tab/>
        <w:t>Lai YYL, Downs JA, Wong K, Zafar S, Walsh LJ, Leonard HM. Enablers and barriers in dental attendance in Rett syndrome: an international observational study. Spec Care Dentist. 2022;42: 565–574. doi:10.1111/scd.12712</w:t>
      </w:r>
    </w:p>
    <w:p w14:paraId="13928F2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30. </w:t>
      </w:r>
      <w:r w:rsidRPr="009B66A4">
        <w:rPr>
          <w:rFonts w:ascii="Calibri" w:hAnsi="Calibri" w:cs="Calibri"/>
          <w:sz w:val="20"/>
          <w:szCs w:val="20"/>
        </w:rPr>
        <w:tab/>
        <w:t>Bisgaard A, Wong K, Højfeldt A, Larsen JL, Schönewolf‐Greulich B, Rønde G, et al. Decline in gross motor skills in adult Rett syndrome; results from a Danish longitudinal study. Am J Med Genet A. 2021;185: 3683–3693. doi:10.1002/ajmg.a.62429</w:t>
      </w:r>
    </w:p>
    <w:p w14:paraId="788A39E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31. </w:t>
      </w:r>
      <w:r w:rsidRPr="009B66A4">
        <w:rPr>
          <w:rFonts w:ascii="Calibri" w:hAnsi="Calibri" w:cs="Calibri"/>
          <w:sz w:val="20"/>
          <w:szCs w:val="20"/>
        </w:rPr>
        <w:tab/>
        <w:t>Gualniera L, Singh J, Fiori F, Santosh P. Emotional Behavioural and Autonomic Dysregulation (EBAD) in Rett Syndrome – EDA and HRV monitoring using wearable sensor technology. J Psychiatr Res. 2021;138: 186–193. doi:10.1016/j.jpsychires.2021.03.052</w:t>
      </w:r>
    </w:p>
    <w:p w14:paraId="69DD683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32. </w:t>
      </w:r>
      <w:r w:rsidRPr="009B66A4">
        <w:rPr>
          <w:rFonts w:ascii="Calibri" w:hAnsi="Calibri" w:cs="Calibri"/>
          <w:sz w:val="20"/>
          <w:szCs w:val="20"/>
        </w:rPr>
        <w:tab/>
        <w:t>Mendoza J, Downs J, Wong K, Leonard H. Determinants of quality of life in Rett syndrome: new findings on associations with genotype. J Med Genet. 2021;58: 637–644. doi:10.1136/jmedgenet-2020-107120</w:t>
      </w:r>
    </w:p>
    <w:p w14:paraId="6DF37FC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33. </w:t>
      </w:r>
      <w:r w:rsidRPr="009B66A4">
        <w:rPr>
          <w:rFonts w:ascii="Calibri" w:hAnsi="Calibri" w:cs="Calibri"/>
          <w:sz w:val="20"/>
          <w:szCs w:val="20"/>
        </w:rPr>
        <w:tab/>
        <w:t>Gilbertson M, Richardson C, Eastwood P, Wilson A, Jacoby P, Leonard H, et al. Determinants of sleep problems in children with intellectual disability. J Sleep Res. 2021;30: e13361. doi:10.1111/jsr.13361</w:t>
      </w:r>
    </w:p>
    <w:p w14:paraId="317932C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34. </w:t>
      </w:r>
      <w:r w:rsidRPr="009B66A4">
        <w:rPr>
          <w:rFonts w:ascii="Calibri" w:hAnsi="Calibri" w:cs="Calibri"/>
          <w:sz w:val="20"/>
          <w:szCs w:val="20"/>
        </w:rPr>
        <w:tab/>
        <w:t>Rozensztrauch A, Sebzda A, Śmigiel R. Clinical presentation of Rett syndrome in relation to quality of life and family functioning. J Int Med Res. 2021;49: 03000605211007714. doi:10.1177/03000605211007714</w:t>
      </w:r>
    </w:p>
    <w:p w14:paraId="119D0AEE"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35. </w:t>
      </w:r>
      <w:r w:rsidRPr="009B66A4">
        <w:rPr>
          <w:rFonts w:ascii="Calibri" w:hAnsi="Calibri" w:cs="Calibri"/>
          <w:sz w:val="20"/>
          <w:szCs w:val="20"/>
        </w:rPr>
        <w:tab/>
        <w:t xml:space="preserve">Wong LC, Chen Y, Tsai S, Lin Y, Hsu C, Wang H, et al. Dietary intake and growth deficits in Rett syndrome—A cross‐section study. </w:t>
      </w:r>
      <w:r w:rsidRPr="009B66A4">
        <w:rPr>
          <w:rFonts w:ascii="Calibri" w:hAnsi="Calibri" w:cs="Calibri"/>
          <w:sz w:val="20"/>
          <w:szCs w:val="20"/>
          <w:lang w:val="pt-BR"/>
        </w:rPr>
        <w:t>Autism Res. 2021;14: 1512–1521. doi:10.1002/aur.2508</w:t>
      </w:r>
    </w:p>
    <w:p w14:paraId="50B906C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36. </w:t>
      </w:r>
      <w:r w:rsidRPr="009B66A4">
        <w:rPr>
          <w:rFonts w:ascii="Calibri" w:hAnsi="Calibri" w:cs="Calibri"/>
          <w:sz w:val="20"/>
          <w:szCs w:val="20"/>
          <w:lang w:val="pt-BR"/>
        </w:rPr>
        <w:tab/>
        <w:t xml:space="preserve">Thapa S, Venkatachalam A, Khan N, Naqvi M, Balderas M, Runge JK, et al. </w:t>
      </w:r>
      <w:r w:rsidRPr="009B66A4">
        <w:rPr>
          <w:rFonts w:ascii="Calibri" w:hAnsi="Calibri" w:cs="Calibri"/>
          <w:sz w:val="20"/>
          <w:szCs w:val="20"/>
        </w:rPr>
        <w:t>Assessment of the gut bacterial microbiome and metabolome of girls and women with Rett Syndrome. Zoetendal EG, editor. PLOS ONE. 2021;16: e0251231. doi:10.1371/journal.pone.0251231</w:t>
      </w:r>
    </w:p>
    <w:p w14:paraId="6545001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37. </w:t>
      </w:r>
      <w:r w:rsidRPr="009B66A4">
        <w:rPr>
          <w:rFonts w:ascii="Calibri" w:hAnsi="Calibri" w:cs="Calibri"/>
          <w:sz w:val="20"/>
          <w:szCs w:val="20"/>
        </w:rPr>
        <w:tab/>
        <w:t>Lai YYL, Downs J, Zafar S, Wong K, Walsh L, Leonard H. Oral health care and service utilisation in individuals with Rett syndrome: an international cross‐sectional study. J Intellect Disabil Res. 2021;65: 561–576. doi:10.1111/jir.12834</w:t>
      </w:r>
    </w:p>
    <w:p w14:paraId="2321545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38. </w:t>
      </w:r>
      <w:r w:rsidRPr="009B66A4">
        <w:rPr>
          <w:rFonts w:ascii="Calibri" w:hAnsi="Calibri" w:cs="Calibri"/>
          <w:sz w:val="20"/>
          <w:szCs w:val="20"/>
        </w:rPr>
        <w:tab/>
        <w:t>Humphrey KN, Horn PS, Olshavsky L, Reebals L, Standridge SM. Features of Menstruation and Menstruation Management in Individuals with Rett Syndrome. J Pediatr Adolesc Gynecol. 2021;34: 144–153. doi:10.1016/j.jpag.2020.11.002</w:t>
      </w:r>
    </w:p>
    <w:p w14:paraId="50AE3DB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39. </w:t>
      </w:r>
      <w:r w:rsidRPr="009B66A4">
        <w:rPr>
          <w:rFonts w:ascii="Calibri" w:hAnsi="Calibri" w:cs="Calibri"/>
          <w:sz w:val="20"/>
          <w:szCs w:val="20"/>
        </w:rPr>
        <w:tab/>
        <w:t>Williams K, Jacoby P, Whitehouse A, Kim R, Epstein A, Murphy N, et al. Functioning, participation, and quality of life in children with intellectual disability: an observational study. Dev Med Child Neurol. 2021;63: 89–96. doi:10.1111/dmcn.14657</w:t>
      </w:r>
    </w:p>
    <w:p w14:paraId="4783603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40. </w:t>
      </w:r>
      <w:r w:rsidRPr="009B66A4">
        <w:rPr>
          <w:rFonts w:ascii="Calibri" w:hAnsi="Calibri" w:cs="Calibri"/>
          <w:sz w:val="20"/>
          <w:szCs w:val="20"/>
        </w:rPr>
        <w:tab/>
        <w:t>Humphrey KN, Horn PS, Olshavsky L, Reebals L, Standridge SM. Well-woman care and HPV vaccination rates in women with Rett syndrome. Disabil Health J. 2021;14: 100982. doi:10.1016/j.dhjo.2020.100982</w:t>
      </w:r>
    </w:p>
    <w:p w14:paraId="160EEEA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41. </w:t>
      </w:r>
      <w:r w:rsidRPr="009B66A4">
        <w:rPr>
          <w:rFonts w:ascii="Calibri" w:hAnsi="Calibri" w:cs="Calibri"/>
          <w:sz w:val="20"/>
          <w:szCs w:val="20"/>
        </w:rPr>
        <w:tab/>
        <w:t>Rodriguez LM, Percy AK, Cutter GR. Rett syndrome: Novel correlations linking &gt;96% genotype, disease severity, and seizures. Transl Sci Rare Dis. 2021;5: 131–141. doi:10.3233/TRD-200047</w:t>
      </w:r>
    </w:p>
    <w:p w14:paraId="55E754B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42. </w:t>
      </w:r>
      <w:r w:rsidRPr="009B66A4">
        <w:rPr>
          <w:rFonts w:ascii="Calibri" w:hAnsi="Calibri" w:cs="Calibri"/>
          <w:sz w:val="20"/>
          <w:szCs w:val="20"/>
        </w:rPr>
        <w:tab/>
        <w:t>Byiers BJ, Payen A, Feyma T, Panoskaltsis-Mortari A, Ehrhardt MJ, Symons FJ. Associations Among Diurnal Salivary Cortisol Patterns, Medication Use, and Behavioral Phenotype Features in a Community Sample of Rett Syndrome. Am J Intellect Dev Disabil. 2020;125: 353–368. doi:10.1352/1944-7558-125.5.353</w:t>
      </w:r>
    </w:p>
    <w:p w14:paraId="26AAB41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43. </w:t>
      </w:r>
      <w:r w:rsidRPr="009B66A4">
        <w:rPr>
          <w:rFonts w:ascii="Calibri" w:hAnsi="Calibri" w:cs="Calibri"/>
          <w:sz w:val="20"/>
          <w:szCs w:val="20"/>
        </w:rPr>
        <w:tab/>
        <w:t>Iakovidou N, Lanzarini E, Singh J, Fiori F, Santosh P. Differentiating Females with Rett Syndrome and Those with Multi-Comorbid Autism Spectrum Disorder Using Physiological Biomarkers: A Novel Approach. J Clin Med. 2020;9: 2842. doi:10.3390/jcm9092842</w:t>
      </w:r>
    </w:p>
    <w:p w14:paraId="7DCBE9F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44. </w:t>
      </w:r>
      <w:r w:rsidRPr="009B66A4">
        <w:rPr>
          <w:rFonts w:ascii="Calibri" w:hAnsi="Calibri" w:cs="Calibri"/>
          <w:sz w:val="20"/>
          <w:szCs w:val="20"/>
        </w:rPr>
        <w:tab/>
        <w:t>Pari E, Cozzi F, Rodocanachi Roidi ML, Grange F, Toshimori K, Ripamonti E. Parenting girls with Rett syndrome: An investigation on self‐perceived levels of stress. J Appl Res Intellect Disabil. 2020;33: 1348–1356. doi:10.1111/jar.12755</w:t>
      </w:r>
    </w:p>
    <w:p w14:paraId="12DB7C2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45. </w:t>
      </w:r>
      <w:r w:rsidRPr="009B66A4">
        <w:rPr>
          <w:rFonts w:ascii="Calibri" w:hAnsi="Calibri" w:cs="Calibri"/>
          <w:sz w:val="20"/>
          <w:szCs w:val="20"/>
        </w:rPr>
        <w:tab/>
        <w:t>Sernheim Å-S, Hemmingsson H, Lidström H, Witt Engerström I, Liedberg GM. Rett syndrome: Teenagers’ and young adults’ activities, usage of time and responses during an ordinary week – a diary study. Scand J Occup Ther. 2020;27: 323–335. doi:10.1080/11038128.2018.1545046</w:t>
      </w:r>
    </w:p>
    <w:p w14:paraId="0935B7E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46. </w:t>
      </w:r>
      <w:r w:rsidRPr="009B66A4">
        <w:rPr>
          <w:rFonts w:ascii="Calibri" w:hAnsi="Calibri" w:cs="Calibri"/>
          <w:sz w:val="20"/>
          <w:szCs w:val="20"/>
        </w:rPr>
        <w:tab/>
        <w:t>Saikusa T, Kawaguchi M, Tanioka (Tetsu T) T, Nabatame (Shin N) S, Takahashi S, Yuge K, et al. Meaningful word acquisition is associated with walking ability over 10 years in Rett syndrome. Brain Dev. 2020;42: 705–712. doi:10.1016/j.braindev.2020.06.012</w:t>
      </w:r>
    </w:p>
    <w:p w14:paraId="6CDD28C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47. </w:t>
      </w:r>
      <w:r w:rsidRPr="009B66A4">
        <w:rPr>
          <w:rFonts w:ascii="Calibri" w:hAnsi="Calibri" w:cs="Calibri"/>
          <w:sz w:val="20"/>
          <w:szCs w:val="20"/>
        </w:rPr>
        <w:tab/>
        <w:t>Cutri‐French C, Armstrong D, Saby J, Gorman C, Lane J, Fu C, et al. Comparison of Core Features in Four Developmental Encephalopathies in the Rett Natural History Study. Ann Neurol. 2020;88: 396–406. doi:10.1002/ana.25797</w:t>
      </w:r>
    </w:p>
    <w:p w14:paraId="7B7250E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48. </w:t>
      </w:r>
      <w:r w:rsidRPr="009B66A4">
        <w:rPr>
          <w:rFonts w:ascii="Calibri" w:hAnsi="Calibri" w:cs="Calibri"/>
          <w:sz w:val="20"/>
          <w:szCs w:val="20"/>
        </w:rPr>
        <w:tab/>
        <w:t>Leven Y, Wiegand F, Wilken B. Sleep Quality in Children and Adults with Rett Syndrome. Neuropediatrics. 2020;51: 198–205. doi:10.1055/s-0040-1701693</w:t>
      </w:r>
    </w:p>
    <w:p w14:paraId="6B969C6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49. </w:t>
      </w:r>
      <w:r w:rsidRPr="009B66A4">
        <w:rPr>
          <w:rFonts w:ascii="Calibri" w:hAnsi="Calibri" w:cs="Calibri"/>
          <w:sz w:val="20"/>
          <w:szCs w:val="20"/>
        </w:rPr>
        <w:tab/>
        <w:t>Clark BC, Kopp A, Morey W, Djukic A. Serial follow‐up of corrected QT interval in Rett syndrome. Dev Med Child Neurol. 2020;62: 833–836. doi:10.1111/dmcn.14419</w:t>
      </w:r>
    </w:p>
    <w:p w14:paraId="0BFC4B88"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50. </w:t>
      </w:r>
      <w:r w:rsidRPr="009B66A4">
        <w:rPr>
          <w:rFonts w:ascii="Calibri" w:hAnsi="Calibri" w:cs="Calibri"/>
          <w:sz w:val="20"/>
          <w:szCs w:val="20"/>
        </w:rPr>
        <w:tab/>
        <w:t>Caffarelli C, Gonnelli S, Pitinca MDT, Camarri S, Al Refaie A, Hayek J, et al. Methyl-CpG-binding protein 2 (MECP2) mutation type is associated with bone disease severity in Rett syndrome. BMC Med Genet. 2020;21: 21. doi:10.1186/s12881-020-0960-2</w:t>
      </w:r>
    </w:p>
    <w:p w14:paraId="68EA67F6"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51. </w:t>
      </w:r>
      <w:r w:rsidRPr="009B66A4">
        <w:rPr>
          <w:rFonts w:ascii="Calibri" w:hAnsi="Calibri" w:cs="Calibri"/>
          <w:sz w:val="20"/>
          <w:szCs w:val="20"/>
        </w:rPr>
        <w:tab/>
        <w:t xml:space="preserve">Henriksen MW, Breck H, Von Tetzchner S, Paus B, Skjeldal OH. Medical Issues in Adults with Rett Syndrome – A National Survey. </w:t>
      </w:r>
      <w:r w:rsidRPr="009B66A4">
        <w:rPr>
          <w:rFonts w:ascii="Calibri" w:hAnsi="Calibri" w:cs="Calibri"/>
          <w:sz w:val="20"/>
          <w:szCs w:val="20"/>
          <w:lang w:val="pt-BR"/>
        </w:rPr>
        <w:t>Dev Neurorehabilitation. 2020;23: 106–112. doi:10.1080/17518423.2019.1646341</w:t>
      </w:r>
    </w:p>
    <w:p w14:paraId="03A3341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lastRenderedPageBreak/>
        <w:t xml:space="preserve">52. </w:t>
      </w:r>
      <w:r w:rsidRPr="009B66A4">
        <w:rPr>
          <w:rFonts w:ascii="Calibri" w:hAnsi="Calibri" w:cs="Calibri"/>
          <w:sz w:val="20"/>
          <w:szCs w:val="20"/>
          <w:lang w:val="pt-BR"/>
        </w:rPr>
        <w:tab/>
        <w:t xml:space="preserve">Di Pierro D, Ciaccio C, Sbardella D, Tundo GR, Bernardini R, Curatolo P, et al. </w:t>
      </w:r>
      <w:r w:rsidRPr="009B66A4">
        <w:rPr>
          <w:rFonts w:ascii="Calibri" w:hAnsi="Calibri" w:cs="Calibri"/>
          <w:sz w:val="20"/>
          <w:szCs w:val="20"/>
        </w:rPr>
        <w:t>Effects of oral administration of common antioxidant supplements on the energy metabolism of red blood cells. Attenuation of oxidative stress-induced changes in Rett syndrome erythrocytes by CoQ10. Mol Cell Biochem. 2020;463: 101–113. doi:10.1007/s11010-019-03633-5</w:t>
      </w:r>
    </w:p>
    <w:p w14:paraId="27131E0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53. </w:t>
      </w:r>
      <w:r w:rsidRPr="009B66A4">
        <w:rPr>
          <w:rFonts w:ascii="Calibri" w:hAnsi="Calibri" w:cs="Calibri"/>
          <w:sz w:val="20"/>
          <w:szCs w:val="20"/>
        </w:rPr>
        <w:tab/>
        <w:t>Chou M-Y, Chang N-W, Chen C, Lee W-T, Hsin Y-J, Siu K-K, et al. The effectiveness of music therapy for individuals with Rett syndrome and their families. J Formos Med Assoc. 2019;118: 1633–1643. doi:10.1016/j.jfma.2019.01.001</w:t>
      </w:r>
    </w:p>
    <w:p w14:paraId="2373655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54. </w:t>
      </w:r>
      <w:r w:rsidRPr="009B66A4">
        <w:rPr>
          <w:rFonts w:ascii="Calibri" w:hAnsi="Calibri" w:cs="Calibri"/>
          <w:sz w:val="20"/>
          <w:szCs w:val="20"/>
        </w:rPr>
        <w:tab/>
        <w:t>Frullanti E, Papa FT, Grillo E, Clarke A, Ben-Zeev B, Pineda M, et al. Analysis of the Phenotypes in the Rett Networked Database. Int J Genomics. 2019;2019: 1–9. doi:10.1155/2019/6956934</w:t>
      </w:r>
    </w:p>
    <w:p w14:paraId="1D042F1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55. </w:t>
      </w:r>
      <w:r w:rsidRPr="009B66A4">
        <w:rPr>
          <w:rFonts w:ascii="Calibri" w:hAnsi="Calibri" w:cs="Calibri"/>
          <w:sz w:val="20"/>
          <w:szCs w:val="20"/>
        </w:rPr>
        <w:tab/>
        <w:t>Sarber KM, Howard JJM, Dye TJ, Pascoe JE, Simakajornboon N. Sleep-Disordered Breathing in Pediatric Patients With Rett Syndrome. J Clin Sleep Med. 2019;15: 1451–1457. doi:10.5664/jcsm.7974</w:t>
      </w:r>
    </w:p>
    <w:p w14:paraId="448FA028"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56. </w:t>
      </w:r>
      <w:r w:rsidRPr="009B66A4">
        <w:rPr>
          <w:rFonts w:ascii="Calibri" w:hAnsi="Calibri" w:cs="Calibri"/>
          <w:sz w:val="20"/>
          <w:szCs w:val="20"/>
        </w:rPr>
        <w:tab/>
        <w:t xml:space="preserve">Hirano D, Taniguchi T. Variation factors of stereotypical hand movements in subjects with Rett syndrome. </w:t>
      </w:r>
      <w:r w:rsidRPr="009B66A4">
        <w:rPr>
          <w:rFonts w:ascii="Calibri" w:hAnsi="Calibri" w:cs="Calibri"/>
          <w:sz w:val="20"/>
          <w:szCs w:val="20"/>
          <w:lang w:val="da-DK"/>
        </w:rPr>
        <w:t>Dev Neurorehabilitation. 2019;22: 376–379. doi:10.1080/17518423.2018.1523245</w:t>
      </w:r>
    </w:p>
    <w:p w14:paraId="550002B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57. </w:t>
      </w:r>
      <w:r w:rsidRPr="009B66A4">
        <w:rPr>
          <w:rFonts w:ascii="Calibri" w:hAnsi="Calibri" w:cs="Calibri"/>
          <w:sz w:val="20"/>
          <w:szCs w:val="20"/>
          <w:lang w:val="da-DK"/>
        </w:rPr>
        <w:tab/>
        <w:t xml:space="preserve">Caffarelli C, Francolini V, Hayek J, Valacchi G, Giannotti S, Nuti R, et al. </w:t>
      </w:r>
      <w:r w:rsidRPr="009B66A4">
        <w:rPr>
          <w:rFonts w:ascii="Calibri" w:hAnsi="Calibri" w:cs="Calibri"/>
          <w:sz w:val="20"/>
          <w:szCs w:val="20"/>
        </w:rPr>
        <w:t>Bone status in relation to ambulatory performance in girls with Rett syndrome: a 10-year longitudinal study. Pediatr Res. 2019;85: 639–643. doi:10.1038/s41390-018-0111-z</w:t>
      </w:r>
    </w:p>
    <w:p w14:paraId="7C74D45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58. </w:t>
      </w:r>
      <w:r w:rsidRPr="009B66A4">
        <w:rPr>
          <w:rFonts w:ascii="Calibri" w:hAnsi="Calibri" w:cs="Calibri"/>
          <w:sz w:val="20"/>
          <w:szCs w:val="20"/>
        </w:rPr>
        <w:tab/>
        <w:t>Rose SA, Wass S, Jankowski JJ, Feldman JF, Djukic A. Impaired Visual Search in Children with Rett Syndrome. Pediatr Neurol. 2019;92: 26–31. doi:10.1016/j.pediatrneurol.2018.10.002</w:t>
      </w:r>
    </w:p>
    <w:p w14:paraId="2902C760"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59. </w:t>
      </w:r>
      <w:r w:rsidRPr="009B66A4">
        <w:rPr>
          <w:rFonts w:ascii="Calibri" w:hAnsi="Calibri" w:cs="Calibri"/>
          <w:sz w:val="20"/>
          <w:szCs w:val="20"/>
        </w:rPr>
        <w:tab/>
        <w:t>Amaddeo A, De Sanctis L, Arroyo JO, Khirani S, Bahi-Buisson N, Fauroux B. Polysomnographic findings in Rett syndrome. Eur J Paediatr Neurol. 2019;23: 214–221. doi:10.1016/j.ejpn.2018.09.003</w:t>
      </w:r>
    </w:p>
    <w:p w14:paraId="6AA7898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60. </w:t>
      </w:r>
      <w:r w:rsidRPr="009B66A4">
        <w:rPr>
          <w:rFonts w:ascii="Calibri" w:hAnsi="Calibri" w:cs="Calibri"/>
          <w:sz w:val="20"/>
          <w:szCs w:val="20"/>
        </w:rPr>
        <w:tab/>
        <w:t>Motil KJ, Lane JB, Barrish JO, Annese F, Geerts S, McNair L, et al. Biliary Tract Disease in Girls and Young Women With Rett Syndrome. J Pediatr Gastroenterol Nutr. 2019;68: 799–805. doi:10.1097/MPG.0000000000002273</w:t>
      </w:r>
    </w:p>
    <w:p w14:paraId="3853460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61. </w:t>
      </w:r>
      <w:r w:rsidRPr="009B66A4">
        <w:rPr>
          <w:rFonts w:ascii="Calibri" w:hAnsi="Calibri" w:cs="Calibri"/>
          <w:sz w:val="20"/>
          <w:szCs w:val="20"/>
        </w:rPr>
        <w:tab/>
        <w:t>Stallworth JL, Dy ME, Buchanan CB, Chen C-F, Scott AE, Glaze DG, et al. Hand stereotypies: Lessons from the Rett Syndrome Natural History Study. Neurology. 2019;92. doi:10.1212/WNL.0000000000007560</w:t>
      </w:r>
    </w:p>
    <w:p w14:paraId="6DB323E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62. </w:t>
      </w:r>
      <w:r w:rsidRPr="009B66A4">
        <w:rPr>
          <w:rFonts w:ascii="Calibri" w:hAnsi="Calibri" w:cs="Calibri"/>
          <w:sz w:val="20"/>
          <w:szCs w:val="20"/>
        </w:rPr>
        <w:tab/>
        <w:t>Zengin-Akkuş P, Taşkıran EZ, Kabaçam S, Şimşek-Kiper PÖ, Haliloğlu G, Boduroğlu K, et al. Clinical and molecular evaluation of 16 patients with Rett syndrome. Turk J Pediatr. 2018;60: 1–9. doi:10.24953/turkjped.2018.01.001</w:t>
      </w:r>
    </w:p>
    <w:p w14:paraId="0C765F0B"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63. </w:t>
      </w:r>
      <w:r w:rsidRPr="009B66A4">
        <w:rPr>
          <w:rFonts w:ascii="Calibri" w:hAnsi="Calibri" w:cs="Calibri"/>
          <w:sz w:val="20"/>
          <w:szCs w:val="20"/>
        </w:rPr>
        <w:tab/>
        <w:t>MacKay J, Leonard H, Wong K, Wilson A, Downs J. Respiratory morbidity in Rett syndrome: an observational study. Dev Med Child Neurol. 2018;60: 951–957. doi:10.1111/dmcn.13726</w:t>
      </w:r>
    </w:p>
    <w:p w14:paraId="3428ECF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64. </w:t>
      </w:r>
      <w:r w:rsidRPr="009B66A4">
        <w:rPr>
          <w:rFonts w:ascii="Calibri" w:hAnsi="Calibri" w:cs="Calibri"/>
          <w:sz w:val="20"/>
          <w:szCs w:val="20"/>
        </w:rPr>
        <w:tab/>
        <w:t>Tarquinio DC, Hou W, Neul JL, Berkmen GK, Drummond J, Aronoff E, et al. The course of awake breathing disturbances across the lifespan in Rett syndrome. Brain Dev. 2018;40: 515–529. doi:10.1016/j.braindev.2018.03.010</w:t>
      </w:r>
    </w:p>
    <w:p w14:paraId="2117432E"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65. </w:t>
      </w:r>
      <w:r w:rsidRPr="009B66A4">
        <w:rPr>
          <w:rFonts w:ascii="Calibri" w:hAnsi="Calibri" w:cs="Calibri"/>
          <w:sz w:val="20"/>
          <w:szCs w:val="20"/>
        </w:rPr>
        <w:tab/>
        <w:t xml:space="preserve">Hirano D, Taniguchi T. Skin injuries and joint contractures of the upper extremities in Rett syndrome. </w:t>
      </w:r>
      <w:r w:rsidRPr="009B66A4">
        <w:rPr>
          <w:rFonts w:ascii="Calibri" w:hAnsi="Calibri" w:cs="Calibri"/>
          <w:sz w:val="20"/>
          <w:szCs w:val="20"/>
          <w:lang w:val="pt-BR"/>
        </w:rPr>
        <w:t>J Intellect Disabil Res. 2018;62: 53–59. doi:10.1111/jir.12452</w:t>
      </w:r>
    </w:p>
    <w:p w14:paraId="1478FCD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66. </w:t>
      </w:r>
      <w:r w:rsidRPr="009B66A4">
        <w:rPr>
          <w:rFonts w:ascii="Calibri" w:hAnsi="Calibri" w:cs="Calibri"/>
          <w:sz w:val="20"/>
          <w:szCs w:val="20"/>
          <w:lang w:val="pt-BR"/>
        </w:rPr>
        <w:tab/>
        <w:t xml:space="preserve">Mancini J, Dubus J, Jouve E, Roux J, Franco P, Lagrue E, et al. </w:t>
      </w:r>
      <w:r w:rsidRPr="009B66A4">
        <w:rPr>
          <w:rFonts w:ascii="Calibri" w:hAnsi="Calibri" w:cs="Calibri"/>
          <w:sz w:val="20"/>
          <w:szCs w:val="20"/>
        </w:rPr>
        <w:t xml:space="preserve">Effect of desipramine on patients with breathing disorders in </w:t>
      </w:r>
      <w:r w:rsidRPr="009B66A4">
        <w:rPr>
          <w:rFonts w:ascii="Calibri" w:hAnsi="Calibri" w:cs="Calibri"/>
          <w:smallCaps/>
          <w:sz w:val="20"/>
          <w:szCs w:val="20"/>
        </w:rPr>
        <w:t>RETT</w:t>
      </w:r>
      <w:r w:rsidRPr="009B66A4">
        <w:rPr>
          <w:rFonts w:ascii="Calibri" w:hAnsi="Calibri" w:cs="Calibri"/>
          <w:sz w:val="20"/>
          <w:szCs w:val="20"/>
        </w:rPr>
        <w:t xml:space="preserve"> syndrome. Ann Clin Transl Neurol. 2018;5: 118–127. doi:10.1002/acn3.468</w:t>
      </w:r>
    </w:p>
    <w:p w14:paraId="0087FE9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67. </w:t>
      </w:r>
      <w:r w:rsidRPr="009B66A4">
        <w:rPr>
          <w:rFonts w:ascii="Calibri" w:hAnsi="Calibri" w:cs="Calibri"/>
          <w:sz w:val="20"/>
          <w:szCs w:val="20"/>
        </w:rPr>
        <w:tab/>
        <w:t>Lai YYL, Wong K, King NM, Downs J, Leonard H. Oral health experiences of individuals with Rett syndrome: a retrospective study. BMC Oral Health. 2018;18: 195. doi:10.1186/s12903-018-0651-y</w:t>
      </w:r>
    </w:p>
    <w:p w14:paraId="7C3E11A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68. </w:t>
      </w:r>
      <w:r w:rsidRPr="009B66A4">
        <w:rPr>
          <w:rFonts w:ascii="Calibri" w:hAnsi="Calibri" w:cs="Calibri"/>
          <w:sz w:val="20"/>
          <w:szCs w:val="20"/>
        </w:rPr>
        <w:tab/>
        <w:t>Cocca S, Viviano M, Loglisci M, Parrini S, Monciatti G, Paganelli II, et al. Correlation Between Dysphagia and Malocclusion in Rett Syndrome: A preliminary study. Sultan Qaboos Univ Med J. 2019;18: e489-493. doi:10.18295/squmj.2018.18.04.010</w:t>
      </w:r>
    </w:p>
    <w:p w14:paraId="74386C70"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69. </w:t>
      </w:r>
      <w:r w:rsidRPr="009B66A4">
        <w:rPr>
          <w:rFonts w:ascii="Calibri" w:hAnsi="Calibri" w:cs="Calibri"/>
          <w:sz w:val="20"/>
          <w:szCs w:val="20"/>
        </w:rPr>
        <w:tab/>
        <w:t>Boban S, Leonard H, Wong K, Wilson A, Downs J. Sleep disturbances in Rett syndrome: Impact and management including use of sleep hygiene practices. Am J Med Genet A. 2018;176: 1569–1577. doi:10.1002/ajmg.a.38829</w:t>
      </w:r>
    </w:p>
    <w:p w14:paraId="33A50D9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70. </w:t>
      </w:r>
      <w:r w:rsidRPr="009B66A4">
        <w:rPr>
          <w:rFonts w:ascii="Calibri" w:hAnsi="Calibri" w:cs="Calibri"/>
          <w:sz w:val="20"/>
          <w:szCs w:val="20"/>
        </w:rPr>
        <w:tab/>
        <w:t>Henriksen MW, Breck H, Von Tetzchner S, Paus B, Skjeldal OH, Brodtkorb E. Epilepsy in classic Rett syndrome: Course and characteristics in adult age. Epilepsy Res. 2018;145: 134–139. doi:10.1016/j.eplepsyres.2018.06.012</w:t>
      </w:r>
    </w:p>
    <w:p w14:paraId="5E06E19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71. </w:t>
      </w:r>
      <w:r w:rsidRPr="009B66A4">
        <w:rPr>
          <w:rFonts w:ascii="Calibri" w:hAnsi="Calibri" w:cs="Calibri"/>
          <w:sz w:val="20"/>
          <w:szCs w:val="20"/>
        </w:rPr>
        <w:tab/>
        <w:t>Wong K, Downs J, Ellaway C, Baikie G, Ravikumara M, Jacoby P, et al. Impact of Gastrostomy Placement on Nutritional Status, Physical Health, and Parental Well-Being of Females with Rett Syndrome: A Longitudinal Study of an Australian Population. J Pediatr. 2018;200: 188-195.e1. doi:10.1016/j.jpeds.2018.04.050</w:t>
      </w:r>
    </w:p>
    <w:p w14:paraId="4908931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72. </w:t>
      </w:r>
      <w:r w:rsidRPr="009B66A4">
        <w:rPr>
          <w:rFonts w:ascii="Calibri" w:hAnsi="Calibri" w:cs="Calibri"/>
          <w:sz w:val="20"/>
          <w:szCs w:val="20"/>
        </w:rPr>
        <w:tab/>
        <w:t>Tarquinio DC, Hou W, Berg A, Kaufmann WE, Lane JB, Skinner SA, et al. Longitudinal course of epilepsy in Rett syndrome and related disorders. Brain. 2017;140: 306–318. doi:10.1093/brain/aww302</w:t>
      </w:r>
    </w:p>
    <w:p w14:paraId="68FF357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73. </w:t>
      </w:r>
      <w:r w:rsidRPr="009B66A4">
        <w:rPr>
          <w:rFonts w:ascii="Calibri" w:hAnsi="Calibri" w:cs="Calibri"/>
          <w:sz w:val="20"/>
          <w:szCs w:val="20"/>
        </w:rPr>
        <w:tab/>
        <w:t>Vignoli A, Savini MN, Nowbut MS, Peron A, Turner K, La Briola F, et al. Effectiveness and tolerability of antiepileptic drugs in 104 girls with Rett syndrome. Epilepsy Behav. 2017;66: 27–33. doi:10.1016/j.yebeh.2016.10.006</w:t>
      </w:r>
    </w:p>
    <w:p w14:paraId="21B2EFD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74. </w:t>
      </w:r>
      <w:r w:rsidRPr="009B66A4">
        <w:rPr>
          <w:rFonts w:ascii="Calibri" w:hAnsi="Calibri" w:cs="Calibri"/>
          <w:sz w:val="20"/>
          <w:szCs w:val="20"/>
        </w:rPr>
        <w:tab/>
        <w:t>Mezzedimi C, Livi W, De Felice C, Cocca S. Dysphagia in Rett Syndrome: A Descriptive Study. Ann Otol Rhinol Laryngol. 2017;126: 640–645. doi:10.1177/0003489417723033</w:t>
      </w:r>
    </w:p>
    <w:p w14:paraId="68A8149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75. </w:t>
      </w:r>
      <w:r w:rsidRPr="009B66A4">
        <w:rPr>
          <w:rFonts w:ascii="Calibri" w:hAnsi="Calibri" w:cs="Calibri"/>
          <w:sz w:val="20"/>
          <w:szCs w:val="20"/>
        </w:rPr>
        <w:tab/>
        <w:t>Horne T, Leonard H, Stannage K, Downs J. A qualitative investigation of recovery after femoral fracture in Rett syndrome. Child Care Health Dev. 2017;43: 232–239. doi:10.1111/cch.12392</w:t>
      </w:r>
    </w:p>
    <w:p w14:paraId="132B175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76. </w:t>
      </w:r>
      <w:r w:rsidRPr="009B66A4">
        <w:rPr>
          <w:rFonts w:ascii="Calibri" w:hAnsi="Calibri" w:cs="Calibri"/>
          <w:sz w:val="20"/>
          <w:szCs w:val="20"/>
        </w:rPr>
        <w:tab/>
        <w:t>Rose SA, Wass S, Jankowski JJ, Feldman JF, Djukic A. Sustained attention in the face of distractors: A study of children with Rett syndrome. Neuropsychology. 2017;31: 403–410. doi:10.1037/neu0000369</w:t>
      </w:r>
    </w:p>
    <w:p w14:paraId="772B0B5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77. </w:t>
      </w:r>
      <w:r w:rsidRPr="009B66A4">
        <w:rPr>
          <w:rFonts w:ascii="Calibri" w:hAnsi="Calibri" w:cs="Calibri"/>
          <w:sz w:val="20"/>
          <w:szCs w:val="20"/>
        </w:rPr>
        <w:tab/>
        <w:t>Downs J, Leonard H, Wong K, Newton N, Hill K. Quantification of walking‐based physical activity and sedentary time in individuals with Rett syndrome. Dev Med Child Neurol. 2017;59: 605–611. doi:10.1111/dmcn.13398</w:t>
      </w:r>
    </w:p>
    <w:p w14:paraId="495F054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78. </w:t>
      </w:r>
      <w:r w:rsidRPr="009B66A4">
        <w:rPr>
          <w:rFonts w:ascii="Calibri" w:hAnsi="Calibri" w:cs="Calibri"/>
          <w:sz w:val="20"/>
          <w:szCs w:val="20"/>
        </w:rPr>
        <w:tab/>
        <w:t>Lambert A-S, Rothenbuhler A, Charles P, Brailly-Tabard S, Trabado S, Célestin E, et al. Lower incidence of fracture after IV bisphosphonates in girls with Rett syndrome and severe bone fragility. Landsberger N, editor. PLOS ONE. 2017;12: e0186941. doi:10.1371/journal.pone.0186941</w:t>
      </w:r>
    </w:p>
    <w:p w14:paraId="5D5AA4F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79. </w:t>
      </w:r>
      <w:r w:rsidRPr="009B66A4">
        <w:rPr>
          <w:rFonts w:ascii="Calibri" w:hAnsi="Calibri" w:cs="Calibri"/>
          <w:sz w:val="20"/>
          <w:szCs w:val="20"/>
        </w:rPr>
        <w:tab/>
        <w:t>Hryniewiecka‐Jaworska A, Foden E, Kerr M, Felce D, Clarke A. Prevalence and associated features of depression in women with Rett syndrome. J Intellect Disabil Res. 2016;60: 564–570. doi:10.1111/jir.12270</w:t>
      </w:r>
    </w:p>
    <w:p w14:paraId="7976D98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80. </w:t>
      </w:r>
      <w:r w:rsidRPr="009B66A4">
        <w:rPr>
          <w:rFonts w:ascii="Calibri" w:hAnsi="Calibri" w:cs="Calibri"/>
          <w:sz w:val="20"/>
          <w:szCs w:val="20"/>
        </w:rPr>
        <w:tab/>
        <w:t>Knight VM, Horn PS, Gilbert DL, Standridge SM. The Clinical Predictors That Facilitate a Clinician’s Decision to Order Genetic Testing for Rett Syndrome. Pediatr Neurol. 2016;63: 66–70. doi:10.1016/j.pediatrneurol.2016.06.016</w:t>
      </w:r>
    </w:p>
    <w:p w14:paraId="5F84661D"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81. </w:t>
      </w:r>
      <w:r w:rsidRPr="009B66A4">
        <w:rPr>
          <w:rFonts w:ascii="Calibri" w:hAnsi="Calibri" w:cs="Calibri"/>
          <w:sz w:val="20"/>
          <w:szCs w:val="20"/>
        </w:rPr>
        <w:tab/>
        <w:t xml:space="preserve">Boban S, Wong K, Epstein A, Anderson B, Murphy N, Downs J, et al. Determinants of sleep disturbances in Rett syndrome: Novel findings in relation to genotype. </w:t>
      </w:r>
      <w:r w:rsidRPr="009B66A4">
        <w:rPr>
          <w:rFonts w:ascii="Calibri" w:hAnsi="Calibri" w:cs="Calibri"/>
          <w:sz w:val="20"/>
          <w:szCs w:val="20"/>
          <w:lang w:val="da-DK"/>
        </w:rPr>
        <w:t>Am J Med Genet A. 2016;170: 2292–2300. doi:10.1002/ajmg.a.37784</w:t>
      </w:r>
    </w:p>
    <w:p w14:paraId="754E3E6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82. </w:t>
      </w:r>
      <w:r w:rsidRPr="009B66A4">
        <w:rPr>
          <w:rFonts w:ascii="Calibri" w:hAnsi="Calibri" w:cs="Calibri"/>
          <w:sz w:val="20"/>
          <w:szCs w:val="20"/>
          <w:lang w:val="da-DK"/>
        </w:rPr>
        <w:tab/>
        <w:t xml:space="preserve">Downs J, Torode I, Wong K, Ellaway C, Elliott EJ, Christodoulou J, et al. </w:t>
      </w:r>
      <w:r w:rsidRPr="009B66A4">
        <w:rPr>
          <w:rFonts w:ascii="Calibri" w:hAnsi="Calibri" w:cs="Calibri"/>
          <w:sz w:val="20"/>
          <w:szCs w:val="20"/>
        </w:rPr>
        <w:t>The Natural History of Scoliosis in Females With Rett Syndrome: SPINE. 2016;41: 856–863. doi:10.1097/BRS.0000000000001399</w:t>
      </w:r>
    </w:p>
    <w:p w14:paraId="55BDB7E9"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83. </w:t>
      </w:r>
      <w:r w:rsidRPr="009B66A4">
        <w:rPr>
          <w:rFonts w:ascii="Calibri" w:hAnsi="Calibri" w:cs="Calibri"/>
          <w:sz w:val="20"/>
          <w:szCs w:val="20"/>
        </w:rPr>
        <w:tab/>
        <w:t xml:space="preserve">Epstein A, Leonard H, Davis E, Williams K, Reddihough D, Murphy N, et al. Conceptualizing a quality of life framework for girls with Rett syndrome using qualitative methods. </w:t>
      </w:r>
      <w:r w:rsidRPr="009B66A4">
        <w:rPr>
          <w:rFonts w:ascii="Calibri" w:hAnsi="Calibri" w:cs="Calibri"/>
          <w:sz w:val="20"/>
          <w:szCs w:val="20"/>
          <w:lang w:val="da-DK"/>
        </w:rPr>
        <w:t>Am J Med Genet A. 2016;170: 645–653. doi:10.1002/ajmg.a.37500</w:t>
      </w:r>
    </w:p>
    <w:p w14:paraId="6A45371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84. </w:t>
      </w:r>
      <w:r w:rsidRPr="009B66A4">
        <w:rPr>
          <w:rFonts w:ascii="Calibri" w:hAnsi="Calibri" w:cs="Calibri"/>
          <w:sz w:val="20"/>
          <w:szCs w:val="20"/>
          <w:lang w:val="da-DK"/>
        </w:rPr>
        <w:tab/>
        <w:t xml:space="preserve">Downs J, Torode I, Wong K, Ellaway C, Elliott EJ, Izatt MT, et al. </w:t>
      </w:r>
      <w:r w:rsidRPr="009B66A4">
        <w:rPr>
          <w:rFonts w:ascii="Calibri" w:hAnsi="Calibri" w:cs="Calibri"/>
          <w:sz w:val="20"/>
          <w:szCs w:val="20"/>
        </w:rPr>
        <w:t>Surgical fusion of early onset severe scoliosis increases survival in Rett syndrome: a cohort study. Dev Med Child Neurol. 2016;58: 632–638. doi:10.1111/dmcn.12984</w:t>
      </w:r>
    </w:p>
    <w:p w14:paraId="7C5F583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85. </w:t>
      </w:r>
      <w:r w:rsidRPr="009B66A4">
        <w:rPr>
          <w:rFonts w:ascii="Calibri" w:hAnsi="Calibri" w:cs="Calibri"/>
          <w:sz w:val="20"/>
          <w:szCs w:val="20"/>
        </w:rPr>
        <w:tab/>
        <w:t>Humphreys P, Barrowman N. The Incidence and Evolution of Parkinsonian Rigidity in Rett Syndrome: A Pilot Study. Can J Neurol Sci J Can Sci Neurol. 2016;43: 567–573. doi:10.1017/cjn.2016.8</w:t>
      </w:r>
    </w:p>
    <w:p w14:paraId="70C79D7A"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86. </w:t>
      </w:r>
      <w:r w:rsidRPr="009B66A4">
        <w:rPr>
          <w:rFonts w:ascii="Calibri" w:hAnsi="Calibri" w:cs="Calibri"/>
          <w:sz w:val="20"/>
          <w:szCs w:val="20"/>
        </w:rPr>
        <w:tab/>
        <w:t>Barney CC, Feyma T, Beisang A, Symons FJ. Pain Experience and Expression in Rett Syndrome: Subjective and Objective Measurement Approaches. J Dev Phys Disabil. 2015;27: 417–429. doi:10.1007/s10882-015-9427-3</w:t>
      </w:r>
    </w:p>
    <w:p w14:paraId="34F1426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87. </w:t>
      </w:r>
      <w:r w:rsidRPr="009B66A4">
        <w:rPr>
          <w:rFonts w:ascii="Calibri" w:hAnsi="Calibri" w:cs="Calibri"/>
          <w:sz w:val="20"/>
          <w:szCs w:val="20"/>
        </w:rPr>
        <w:tab/>
        <w:t>Ammanuel S, Chan WC, Adler DA, Lakshamanan BM, Gupta SS, Ewen JB, et al. Heightened Delta Power during Slow-Wave-Sleep in Patients with Rett Syndrome Associated with Poor Sleep Efficiency. Ferri R, editor. PLOS ONE. 2015;10: e0138113. doi:10.1371/journal.pone.0138113</w:t>
      </w:r>
    </w:p>
    <w:p w14:paraId="268CAD8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88. </w:t>
      </w:r>
      <w:r w:rsidRPr="009B66A4">
        <w:rPr>
          <w:rFonts w:ascii="Calibri" w:hAnsi="Calibri" w:cs="Calibri"/>
          <w:sz w:val="20"/>
          <w:szCs w:val="20"/>
        </w:rPr>
        <w:tab/>
        <w:t>Megahed H, Hindawy A, Mohamady M. Correlation between clinical features and MECP2 gene mutations in patients with Rett syndrome. Egypt Pediatr Assoc Gaz. 2015;63: 25–31. doi:10.1016/j.epag.2015.02.001</w:t>
      </w:r>
    </w:p>
    <w:p w14:paraId="7DEACF0A"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89. </w:t>
      </w:r>
      <w:r w:rsidRPr="009B66A4">
        <w:rPr>
          <w:rFonts w:ascii="Calibri" w:hAnsi="Calibri" w:cs="Calibri"/>
          <w:sz w:val="20"/>
          <w:szCs w:val="20"/>
        </w:rPr>
        <w:tab/>
        <w:t xml:space="preserve">Nissenkorn A, Levy‐Drummer RS, Bondi O, Renieri A, Villard L, Mari F, et al. Epilepsy in Rett syndrome—Lessons from the Rett networked database. </w:t>
      </w:r>
      <w:r w:rsidRPr="009B66A4">
        <w:rPr>
          <w:rFonts w:ascii="Calibri" w:hAnsi="Calibri" w:cs="Calibri"/>
          <w:sz w:val="20"/>
          <w:szCs w:val="20"/>
          <w:lang w:val="pt-BR"/>
        </w:rPr>
        <w:t>Epilepsia. 2015;56: 569–576. doi:10.1111/epi.12941</w:t>
      </w:r>
    </w:p>
    <w:p w14:paraId="3415A42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lastRenderedPageBreak/>
        <w:t xml:space="preserve">90. </w:t>
      </w:r>
      <w:r w:rsidRPr="009B66A4">
        <w:rPr>
          <w:rFonts w:ascii="Calibri" w:hAnsi="Calibri" w:cs="Calibri"/>
          <w:sz w:val="20"/>
          <w:szCs w:val="20"/>
          <w:lang w:val="pt-BR"/>
        </w:rPr>
        <w:tab/>
        <w:t xml:space="preserve">Stagi S, Cavalli L, Congiu L, Scusa MF, Ferlini A, Bigoni S, et al. </w:t>
      </w:r>
      <w:r w:rsidRPr="009B66A4">
        <w:rPr>
          <w:rFonts w:ascii="Calibri" w:hAnsi="Calibri" w:cs="Calibri"/>
          <w:sz w:val="20"/>
          <w:szCs w:val="20"/>
        </w:rPr>
        <w:t>Thyroid Function in Rett Syndrome. Horm Res Paediatr. 2015;83: 118–125. doi:10.1159/000370066</w:t>
      </w:r>
    </w:p>
    <w:p w14:paraId="3D4726D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91. </w:t>
      </w:r>
      <w:r w:rsidRPr="009B66A4">
        <w:rPr>
          <w:rFonts w:ascii="Calibri" w:hAnsi="Calibri" w:cs="Calibri"/>
          <w:sz w:val="20"/>
          <w:szCs w:val="20"/>
        </w:rPr>
        <w:tab/>
        <w:t>Bisgaard A-M, Schönewolf-Greulich B, Ravn K, Rønde G. Is it possible to diagnose Rett syndrome before classical symptoms become obvious? Review of 24 Danish cases born between 2003 and 2012. Eur J Paediatr Neurol. 2015;19: 679–687. doi:10.1016/j.ejpn.2015.07.004</w:t>
      </w:r>
    </w:p>
    <w:p w14:paraId="6DA9C23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92. </w:t>
      </w:r>
      <w:r w:rsidRPr="009B66A4">
        <w:rPr>
          <w:rFonts w:ascii="Calibri" w:hAnsi="Calibri" w:cs="Calibri"/>
          <w:sz w:val="20"/>
          <w:szCs w:val="20"/>
        </w:rPr>
        <w:tab/>
        <w:t>Wong K, Leonard H, Jacoby P, Ellaway C, Downs J. The trajectories of sleep disturbances in Rett syndrome. J Sleep Res. 2015;24: 223–233. doi:10.1111/jsr.12240</w:t>
      </w:r>
    </w:p>
    <w:p w14:paraId="248BEBE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93. </w:t>
      </w:r>
      <w:r w:rsidRPr="009B66A4">
        <w:rPr>
          <w:rFonts w:ascii="Calibri" w:hAnsi="Calibri" w:cs="Calibri"/>
          <w:sz w:val="20"/>
          <w:szCs w:val="20"/>
        </w:rPr>
        <w:tab/>
        <w:t>Jefferson A, Fyfe S, Downs J, Woodhead H, Jacoby P, Leonard H. Longitudinal bone mineral content and density in Rett syndrome and their contributing factors. Bone. 2015;74: 191–198. doi:10.1016/j.bone.2015.01.023</w:t>
      </w:r>
    </w:p>
    <w:p w14:paraId="26E6D55D"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94. </w:t>
      </w:r>
      <w:r w:rsidRPr="009B66A4">
        <w:rPr>
          <w:rFonts w:ascii="Calibri" w:hAnsi="Calibri" w:cs="Calibri"/>
          <w:sz w:val="20"/>
          <w:szCs w:val="20"/>
        </w:rPr>
        <w:tab/>
        <w:t xml:space="preserve">Tarquinio DC, Hou W, Neul JL, Lane JB, Barnes KV, O’Leary HM, et al. Age of Diagnosis in Rett Syndrome: Patterns of Recognition Among Diagnosticians and Risk Factors for Late Diagnosis. </w:t>
      </w:r>
      <w:r w:rsidRPr="009B66A4">
        <w:rPr>
          <w:rFonts w:ascii="Calibri" w:hAnsi="Calibri" w:cs="Calibri"/>
          <w:sz w:val="20"/>
          <w:szCs w:val="20"/>
          <w:lang w:val="pt-BR"/>
        </w:rPr>
        <w:t>Pediatr Neurol. 2015;52: 585-591.e2. doi:10.1016/j.pediatrneurol.2015.02.007</w:t>
      </w:r>
    </w:p>
    <w:p w14:paraId="00942AB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95. </w:t>
      </w:r>
      <w:r w:rsidRPr="009B66A4">
        <w:rPr>
          <w:rFonts w:ascii="Calibri" w:hAnsi="Calibri" w:cs="Calibri"/>
          <w:sz w:val="20"/>
          <w:szCs w:val="20"/>
          <w:lang w:val="pt-BR"/>
        </w:rPr>
        <w:tab/>
        <w:t xml:space="preserve">Cianfaglione R, Clarke A, Kerr M, Hastings RP, Oliver C, Moss J, et al. </w:t>
      </w:r>
      <w:r w:rsidRPr="009B66A4">
        <w:rPr>
          <w:rFonts w:ascii="Calibri" w:hAnsi="Calibri" w:cs="Calibri"/>
          <w:sz w:val="20"/>
          <w:szCs w:val="20"/>
        </w:rPr>
        <w:t>A national survey of Rett syndrome: behavioural characteristics. J Neurodev Disord. 2015;7: 11. doi:10.1186/s11689-015-9104-y</w:t>
      </w:r>
    </w:p>
    <w:p w14:paraId="4F36EDAB"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96. </w:t>
      </w:r>
      <w:r w:rsidRPr="009B66A4">
        <w:rPr>
          <w:rFonts w:ascii="Calibri" w:hAnsi="Calibri" w:cs="Calibri"/>
          <w:sz w:val="20"/>
          <w:szCs w:val="20"/>
        </w:rPr>
        <w:tab/>
        <w:t xml:space="preserve">Djukic A, Rose SA, Jankowski JJ, Feldman JF. Rett Syndrome: Recognition of Facial Expression and Its Relation to Scanning Patterns. </w:t>
      </w:r>
      <w:r w:rsidRPr="009B66A4">
        <w:rPr>
          <w:rFonts w:ascii="Calibri" w:hAnsi="Calibri" w:cs="Calibri"/>
          <w:sz w:val="20"/>
          <w:szCs w:val="20"/>
          <w:lang w:val="pt-BR"/>
        </w:rPr>
        <w:t>Pediatr Neurol. 2014;51: 650–656. doi:10.1016/j.pediatrneurol.2014.07.022</w:t>
      </w:r>
    </w:p>
    <w:p w14:paraId="09488E6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97. </w:t>
      </w:r>
      <w:r w:rsidRPr="009B66A4">
        <w:rPr>
          <w:rFonts w:ascii="Calibri" w:hAnsi="Calibri" w:cs="Calibri"/>
          <w:sz w:val="20"/>
          <w:szCs w:val="20"/>
          <w:lang w:val="pt-BR"/>
        </w:rPr>
        <w:tab/>
        <w:t xml:space="preserve">De Felice C, Rossi M, Leoncini S, Chisci G, Signorini C, Lonetti G, et al. </w:t>
      </w:r>
      <w:r w:rsidRPr="009B66A4">
        <w:rPr>
          <w:rFonts w:ascii="Calibri" w:hAnsi="Calibri" w:cs="Calibri"/>
          <w:sz w:val="20"/>
          <w:szCs w:val="20"/>
        </w:rPr>
        <w:t>Inflammatory Lung Disease in Rett Syndrome. Mediators Inflamm. 2014;2014: 1–15. doi:10.1155/2014/560120</w:t>
      </w:r>
    </w:p>
    <w:p w14:paraId="3F8B6C6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98. </w:t>
      </w:r>
      <w:r w:rsidRPr="009B66A4">
        <w:rPr>
          <w:rFonts w:ascii="Calibri" w:hAnsi="Calibri" w:cs="Calibri"/>
          <w:sz w:val="20"/>
          <w:szCs w:val="20"/>
        </w:rPr>
        <w:tab/>
        <w:t>Anderson A, Wong K, Jacoby P, Downs J, Leonard H. Twenty years of surveillance in Rett syndrome: what does this tell us? Orphanet J Rare Dis. 2014;9: 87. doi:10.1186/1750-1172-9-87</w:t>
      </w:r>
    </w:p>
    <w:p w14:paraId="62CA1EE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99. </w:t>
      </w:r>
      <w:r w:rsidRPr="009B66A4">
        <w:rPr>
          <w:rFonts w:ascii="Calibri" w:hAnsi="Calibri" w:cs="Calibri"/>
          <w:sz w:val="20"/>
          <w:szCs w:val="20"/>
        </w:rPr>
        <w:tab/>
        <w:t>Freilinger M, Böhm M, Lanator I, Vergesslich‐Rothschild K, Huber W, Anderson A, et al. Prevalence, clinical investigation, and management of gallbladder disease in Rett syndrome. Dev Med Child Neurol. 2014;56: 756–762. doi:10.1111/dmcn.12358</w:t>
      </w:r>
    </w:p>
    <w:p w14:paraId="7F10774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100. </w:t>
      </w:r>
      <w:r w:rsidRPr="009B66A4">
        <w:rPr>
          <w:rFonts w:ascii="Calibri" w:hAnsi="Calibri" w:cs="Calibri"/>
          <w:sz w:val="20"/>
          <w:szCs w:val="20"/>
        </w:rPr>
        <w:tab/>
        <w:t>Motil KJ, Barrish JO, Neul JL, Glaze DG. Low Bone Mineral Mass Is Associated With Decreased Bone Formation and Diet in Girls With Rett Syndrome. J Pediatr Gastroenterol Nutr. 2014;59: 386–392. doi:10.1097/MPG.0000000000000440</w:t>
      </w:r>
    </w:p>
    <w:p w14:paraId="35BDE10D"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101. </w:t>
      </w:r>
      <w:r w:rsidRPr="009B66A4">
        <w:rPr>
          <w:rFonts w:ascii="Calibri" w:hAnsi="Calibri" w:cs="Calibri"/>
          <w:sz w:val="20"/>
          <w:szCs w:val="20"/>
        </w:rPr>
        <w:tab/>
        <w:t>Khwaja OS, Ho E, Barnes KV, O’Leary HM, Pereira LM, Finkelstein Y, et al. Safety, pharmacokinetics, and preliminary assessment of efficacy of mecasermin (recombinant human IGF-1) for the treatment of Rett syndrome. Proc Natl Acad Sci. 2014;111: 4596–4601. doi:10.1073/pnas.1311141111</w:t>
      </w:r>
    </w:p>
    <w:p w14:paraId="506F70F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102. </w:t>
      </w:r>
      <w:r w:rsidRPr="009B66A4">
        <w:rPr>
          <w:rFonts w:ascii="Calibri" w:hAnsi="Calibri" w:cs="Calibri"/>
          <w:sz w:val="20"/>
          <w:szCs w:val="20"/>
        </w:rPr>
        <w:tab/>
        <w:t>Isaias IU, Dipaola M, Michi M, Marzegan A, Volkmann J, Rodocanachi Roidi ML, et al. Gait Initiation in Children with Rett Syndrome. Muotri AR, editor. PLoS ONE. 2014;9: e92736. doi:10.1371/journal.pone.0092736</w:t>
      </w:r>
    </w:p>
    <w:p w14:paraId="5E4E556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103. </w:t>
      </w:r>
      <w:r w:rsidRPr="009B66A4">
        <w:rPr>
          <w:rFonts w:ascii="Calibri" w:hAnsi="Calibri" w:cs="Calibri"/>
          <w:sz w:val="20"/>
          <w:szCs w:val="20"/>
        </w:rPr>
        <w:tab/>
        <w:t>Byiers BJ, Tervo RC, Feyma TJ, Symons FJ. Seizures and Pain Uncertainty Associated With Parenting Stress and Rett Syndrome. J Child Neurol. 2014;29: 526–529. doi:10.1177/0883073812470736</w:t>
      </w:r>
    </w:p>
    <w:p w14:paraId="7E2F32C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104. </w:t>
      </w:r>
      <w:r w:rsidRPr="009B66A4">
        <w:rPr>
          <w:rFonts w:ascii="Calibri" w:hAnsi="Calibri" w:cs="Calibri"/>
          <w:sz w:val="20"/>
          <w:szCs w:val="20"/>
        </w:rPr>
        <w:tab/>
        <w:t>Downs J, Wong K, Ravikumara M, Ellaway C, Elliott EJ, Christodoulou J, et al. Experience of Gastrostomy Using a Quality Care Framework: The Example of Rett Syndrome. Medicine (Baltimore). 2014;93: e328. doi:10.1097/MD.0000000000000328</w:t>
      </w:r>
    </w:p>
    <w:p w14:paraId="73BCA8E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105. </w:t>
      </w:r>
      <w:r w:rsidRPr="009B66A4">
        <w:rPr>
          <w:rFonts w:ascii="Calibri" w:hAnsi="Calibri" w:cs="Calibri"/>
          <w:sz w:val="20"/>
          <w:szCs w:val="20"/>
        </w:rPr>
        <w:tab/>
        <w:t>Neul JL, Lane JB, Lee H-S, Geerts S, Barrish JO, Annese F, et al. Developmental delay in Rett syndrome: data from the natural history study. J Neurodev Disord. 2014;6: 20. doi:10.1186/1866-1955-6-20</w:t>
      </w:r>
    </w:p>
    <w:p w14:paraId="27A89C3B"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106. </w:t>
      </w:r>
      <w:r w:rsidRPr="009B66A4">
        <w:rPr>
          <w:rFonts w:ascii="Calibri" w:hAnsi="Calibri" w:cs="Calibri"/>
          <w:sz w:val="20"/>
          <w:szCs w:val="20"/>
        </w:rPr>
        <w:tab/>
        <w:t>Sarajlija A, Djuric M, Tepavcevic DK, Grkovic S, Djordjevic M. Vitamin D Deficiency in Serbian Patients With Rett Syndrome. J Clin Endocrinol Metab. 2013;98: E1972–E1978. doi:10.1210/jc.2013-2627</w:t>
      </w:r>
    </w:p>
    <w:p w14:paraId="0A7E561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107. </w:t>
      </w:r>
      <w:r w:rsidRPr="009B66A4">
        <w:rPr>
          <w:rFonts w:ascii="Calibri" w:hAnsi="Calibri" w:cs="Calibri"/>
          <w:sz w:val="20"/>
          <w:szCs w:val="20"/>
        </w:rPr>
        <w:tab/>
        <w:t>Sarajlija A, Djuric M, Kisic-Tepavcevic D. Health-related quality of life and depression in Rett syndrome caregivers. Vojnosanit Pregl. 2013;70: 842–847. doi:10.2298/VSP1309842S</w:t>
      </w:r>
    </w:p>
    <w:p w14:paraId="2BB9248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108. </w:t>
      </w:r>
      <w:r w:rsidRPr="009B66A4">
        <w:rPr>
          <w:rFonts w:ascii="Calibri" w:hAnsi="Calibri" w:cs="Calibri"/>
          <w:sz w:val="20"/>
          <w:szCs w:val="20"/>
        </w:rPr>
        <w:tab/>
        <w:t>Halbach N, Smeets E, Steinbusch C, Maaskant M, Van Waardenburg D, Curfs L. Aging in Rett syndrome: a longitudinal study. Clin Genet. 2013;84: 223–229. doi:10.1111/cge.12063</w:t>
      </w:r>
    </w:p>
    <w:p w14:paraId="78BAC15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109. </w:t>
      </w:r>
      <w:r w:rsidRPr="009B66A4">
        <w:rPr>
          <w:rFonts w:ascii="Calibri" w:hAnsi="Calibri" w:cs="Calibri"/>
          <w:sz w:val="20"/>
          <w:szCs w:val="20"/>
        </w:rPr>
        <w:tab/>
        <w:t>Larsson G, Julu POO, Witt Engerström I, Sandlund M, Lindström B. Normal reactions to orthostatic stress in Rett syndrome. Res Dev Disabil. 2013;34: 1897–1905. doi:10.1016/j.ridd.2013.02.027</w:t>
      </w:r>
    </w:p>
    <w:p w14:paraId="2F97AA8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110. </w:t>
      </w:r>
      <w:r w:rsidRPr="009B66A4">
        <w:rPr>
          <w:rFonts w:ascii="Calibri" w:hAnsi="Calibri" w:cs="Calibri"/>
          <w:sz w:val="20"/>
          <w:szCs w:val="20"/>
        </w:rPr>
        <w:tab/>
        <w:t>Kim HJ, Kim SH, Kim HD, Lee JS, Lee Y-M, Koo KY, et al. Genetic and Epileptic Features in Rett Syndrome. Yonsei Med J. 2012;53: 495. doi:10.3349/ymj.2012.53.3.495</w:t>
      </w:r>
    </w:p>
    <w:p w14:paraId="6874DB6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111. </w:t>
      </w:r>
      <w:r w:rsidRPr="009B66A4">
        <w:rPr>
          <w:rFonts w:ascii="Calibri" w:hAnsi="Calibri" w:cs="Calibri"/>
          <w:sz w:val="20"/>
          <w:szCs w:val="20"/>
        </w:rPr>
        <w:tab/>
        <w:t>De Felice C, Maffei S, Signorini C, Leoncini S, Lunghetti S, Valacchi G, et al. Subclinical myocardial dysfunction in Rett syndrome. Eur Heart J - Cardiovasc Imaging. 2012;13: 339–345. doi:10.1093/ejechocard/jer256</w:t>
      </w:r>
    </w:p>
    <w:p w14:paraId="66129FCA"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112. </w:t>
      </w:r>
      <w:r w:rsidRPr="009B66A4">
        <w:rPr>
          <w:rFonts w:ascii="Calibri" w:hAnsi="Calibri" w:cs="Calibri"/>
          <w:sz w:val="20"/>
          <w:szCs w:val="20"/>
        </w:rPr>
        <w:tab/>
        <w:t>Gabos PG, Inan M, Thacker M, Borkhu B. Spinal Fusion for Scoliosis in Rett Syndrome With an Emphasis on Early Postoperative Complications: Spine. 2012;37: E90–E94. doi:10.1097/BRS.0b013e3182404698</w:t>
      </w:r>
    </w:p>
    <w:p w14:paraId="7388F540"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113. </w:t>
      </w:r>
      <w:r w:rsidRPr="009B66A4">
        <w:rPr>
          <w:rFonts w:ascii="Calibri" w:hAnsi="Calibri" w:cs="Calibri"/>
          <w:sz w:val="20"/>
          <w:szCs w:val="20"/>
        </w:rPr>
        <w:tab/>
        <w:t>Giesbers S, Didden R, Radstaake M, Korzilius H, Von Gontard A, Lang R, et al. Incontinence in Individuals with Rett Syndrome: A Comparative Study. J Dev Phys Disabil. 2012;24: 287–300. doi:10.1007/s10882-012-9271-7</w:t>
      </w:r>
    </w:p>
    <w:p w14:paraId="6835958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114. </w:t>
      </w:r>
      <w:r w:rsidRPr="009B66A4">
        <w:rPr>
          <w:rFonts w:ascii="Calibri" w:hAnsi="Calibri" w:cs="Calibri"/>
          <w:sz w:val="20"/>
          <w:szCs w:val="20"/>
        </w:rPr>
        <w:tab/>
        <w:t>Han Z-A, Jeon HR, Kim SW, Park JY, Chung HJ. Clinical Characteristics of Children with Rett Syndrome. Ann Rehabil Med. 2012;36: 334. doi:10.5535/arm.2012.36.3.334</w:t>
      </w:r>
    </w:p>
    <w:p w14:paraId="6AB650DB"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115. </w:t>
      </w:r>
      <w:r w:rsidRPr="009B66A4">
        <w:rPr>
          <w:rFonts w:ascii="Calibri" w:hAnsi="Calibri" w:cs="Calibri"/>
          <w:sz w:val="20"/>
          <w:szCs w:val="20"/>
        </w:rPr>
        <w:tab/>
        <w:t>Krajnc N, Župančič N, Oražem J. Epilepsy Treatment in Rett Syndrome. J Child Neurol. 2011;26: 1429–1433. doi:10.1177/0883073811408422</w:t>
      </w:r>
    </w:p>
    <w:p w14:paraId="6F48C23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116. </w:t>
      </w:r>
      <w:r w:rsidRPr="009B66A4">
        <w:rPr>
          <w:rFonts w:ascii="Calibri" w:hAnsi="Calibri" w:cs="Calibri"/>
          <w:sz w:val="20"/>
          <w:szCs w:val="20"/>
        </w:rPr>
        <w:tab/>
        <w:t>Jefferson AL, Woodhead HJ, Fyfe S, Briody J, Bebbington A, Strauss BJ, et al. Bone Mineral Content and Density in Rett Syndrome and Their Contributing Factors. Pediatr Res. 2011;69: 293–298. doi:10.1203/PDR.0b013e31820b937d</w:t>
      </w:r>
    </w:p>
    <w:p w14:paraId="554F9DF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117. </w:t>
      </w:r>
      <w:r w:rsidRPr="009B66A4">
        <w:rPr>
          <w:rFonts w:ascii="Calibri" w:hAnsi="Calibri" w:cs="Calibri"/>
          <w:sz w:val="20"/>
          <w:szCs w:val="20"/>
        </w:rPr>
        <w:tab/>
        <w:t>Roende G, Ravn K, Fuglsang K, Andersen H, Vestergaard A, BrøNdum-Nielsen K, et al. Patients With Rett Syndrome Sustain Low-Energy Fractures. Pediatr Res. 2011;69: 359–364. doi:10.1203/PDR.0b013e31820bc6d3</w:t>
      </w:r>
    </w:p>
    <w:p w14:paraId="6A6BA21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118. </w:t>
      </w:r>
      <w:r w:rsidRPr="009B66A4">
        <w:rPr>
          <w:rFonts w:ascii="Calibri" w:hAnsi="Calibri" w:cs="Calibri"/>
          <w:sz w:val="20"/>
          <w:szCs w:val="20"/>
        </w:rPr>
        <w:tab/>
        <w:t>Riise R, Brox JI, Sorensen R, Skjeldal OH. Spinal deformity and disability in patients with Rett syndrome: Spinal Deformity and Disability in Patients with Rett Syndrome. Dev Med Child Neurol. 2011;53: 653–657. doi:10.1111/j.1469-8749.2011.03935.x</w:t>
      </w:r>
    </w:p>
    <w:p w14:paraId="3E35F6EA"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119. </w:t>
      </w:r>
      <w:r w:rsidRPr="009B66A4">
        <w:rPr>
          <w:rFonts w:ascii="Calibri" w:hAnsi="Calibri" w:cs="Calibri"/>
          <w:sz w:val="20"/>
          <w:szCs w:val="20"/>
        </w:rPr>
        <w:tab/>
        <w:t xml:space="preserve">Downs J, Bebbington A, Kaufmann WE, Leonard H. Longitudinal Hand Function in Rett Syndrome. </w:t>
      </w:r>
      <w:r w:rsidRPr="009B66A4">
        <w:rPr>
          <w:rFonts w:ascii="Calibri" w:hAnsi="Calibri" w:cs="Calibri"/>
          <w:sz w:val="20"/>
          <w:szCs w:val="20"/>
          <w:lang w:val="da-DK"/>
        </w:rPr>
        <w:t>J Child Neurol. 2011;26: 334–340. doi:10.1177/0883073810381920</w:t>
      </w:r>
    </w:p>
    <w:p w14:paraId="374E4F7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120. </w:t>
      </w:r>
      <w:r w:rsidRPr="009B66A4">
        <w:rPr>
          <w:rFonts w:ascii="Calibri" w:hAnsi="Calibri" w:cs="Calibri"/>
          <w:sz w:val="20"/>
          <w:szCs w:val="20"/>
          <w:lang w:val="da-DK"/>
        </w:rPr>
        <w:tab/>
        <w:t xml:space="preserve">Freilinger M, Dunkler D, Lanator I, Item CB, Mühl A, Fowler B, et al. </w:t>
      </w:r>
      <w:r w:rsidRPr="009B66A4">
        <w:rPr>
          <w:rFonts w:ascii="Calibri" w:hAnsi="Calibri" w:cs="Calibri"/>
          <w:sz w:val="20"/>
          <w:szCs w:val="20"/>
        </w:rPr>
        <w:t>Effects of Creatine Supplementation in Rett Syndrome: A Randomized, Placebo-Controlled Trial. J Dev Behav Pediatr. 2011;32: 454–460. doi:10.1097/DBP.0b013e31822177a8</w:t>
      </w:r>
    </w:p>
    <w:p w14:paraId="524A731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121. </w:t>
      </w:r>
      <w:r w:rsidRPr="009B66A4">
        <w:rPr>
          <w:rFonts w:ascii="Calibri" w:hAnsi="Calibri" w:cs="Calibri"/>
          <w:sz w:val="20"/>
          <w:szCs w:val="20"/>
        </w:rPr>
        <w:tab/>
        <w:t>Bartolotta TE, Zipp GP, Simpkins SD, Glazewski B. Communication Skills in Girls With Rett Syndrome. Focus Autism Dev Disabil. 2011;26: 15–24. doi:10.1177/1088357610380042</w:t>
      </w:r>
    </w:p>
    <w:p w14:paraId="0D2F5AA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122. </w:t>
      </w:r>
      <w:r w:rsidRPr="009B66A4">
        <w:rPr>
          <w:rFonts w:ascii="Calibri" w:hAnsi="Calibri" w:cs="Calibri"/>
          <w:sz w:val="20"/>
          <w:szCs w:val="20"/>
        </w:rPr>
        <w:tab/>
        <w:t>Leonard H, Downs J, Jian L, Bebbington A, Jacoby P, Nagarajan L, et al. Valproate and risk of fracture in Rett syndrome. Arch Dis Child. 2010;95: 444–448. doi:10.1136/adc.2008.148932</w:t>
      </w:r>
    </w:p>
    <w:p w14:paraId="6CB4C1AE"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123. </w:t>
      </w:r>
      <w:r w:rsidRPr="009B66A4">
        <w:rPr>
          <w:rFonts w:ascii="Calibri" w:hAnsi="Calibri" w:cs="Calibri"/>
          <w:sz w:val="20"/>
          <w:szCs w:val="20"/>
        </w:rPr>
        <w:tab/>
        <w:t>Carter P, Downs J, Bebbington A, Williams S, Jacoby P, Kaufmann WE, et al. Stereotypical hand movements in 144 subjects with Rett syndrome from the population‐based Australian database. Mov Disord. 2010;25: 282–288. doi:10.1002/mds.22851</w:t>
      </w:r>
    </w:p>
    <w:p w14:paraId="6D771F5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124. </w:t>
      </w:r>
      <w:r w:rsidRPr="009B66A4">
        <w:rPr>
          <w:rFonts w:ascii="Calibri" w:hAnsi="Calibri" w:cs="Calibri"/>
          <w:sz w:val="20"/>
          <w:szCs w:val="20"/>
        </w:rPr>
        <w:tab/>
        <w:t>Nissenkorn A, Gak E, Vecsler M, Reznik H, Menascu S, Ben Zeev B. Epilepsy in Rett syndrome—The experience of a National Rett Center. Epilepsia. 2010;51: 1252–1258. doi:10.1111/j.1528-1167.2010.02597.x</w:t>
      </w:r>
    </w:p>
    <w:p w14:paraId="0DF9C1BF"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125. </w:t>
      </w:r>
      <w:r w:rsidRPr="009B66A4">
        <w:rPr>
          <w:rFonts w:ascii="Calibri" w:hAnsi="Calibri" w:cs="Calibri"/>
          <w:sz w:val="20"/>
          <w:szCs w:val="20"/>
        </w:rPr>
        <w:tab/>
        <w:t xml:space="preserve">Percy AK, Lee H-S, Neul JL, Lane JB, Skinner SA, Geerts SP, et al. Profiling Scoliosis in Rett Syndrome. </w:t>
      </w:r>
      <w:r w:rsidRPr="009B66A4">
        <w:rPr>
          <w:rFonts w:ascii="Calibri" w:hAnsi="Calibri" w:cs="Calibri"/>
          <w:sz w:val="20"/>
          <w:szCs w:val="20"/>
          <w:lang w:val="pt-BR"/>
        </w:rPr>
        <w:t>Pediatr Res. 2010;67: 435–439. doi:10.1203/PDR.0b013e3181d0187f</w:t>
      </w:r>
    </w:p>
    <w:p w14:paraId="418A62FA"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lang w:val="pt-BR"/>
        </w:rPr>
        <w:t xml:space="preserve">126. </w:t>
      </w:r>
      <w:r w:rsidRPr="009B66A4">
        <w:rPr>
          <w:rFonts w:ascii="Calibri" w:hAnsi="Calibri" w:cs="Calibri"/>
          <w:sz w:val="20"/>
          <w:szCs w:val="20"/>
          <w:lang w:val="pt-BR"/>
        </w:rPr>
        <w:tab/>
        <w:t xml:space="preserve">Pintaudi M, Calevo MG, Vignoli A, Parodi E, Aiello F, Baglietto MG, et al. </w:t>
      </w:r>
      <w:r w:rsidRPr="009B66A4">
        <w:rPr>
          <w:rFonts w:ascii="Calibri" w:hAnsi="Calibri" w:cs="Calibri"/>
          <w:sz w:val="20"/>
          <w:szCs w:val="20"/>
        </w:rPr>
        <w:t xml:space="preserve">Epilepsy in Rett syndrome: Clinical and genetic features. Epilepsy Behav. </w:t>
      </w:r>
      <w:r w:rsidRPr="009B66A4">
        <w:rPr>
          <w:rFonts w:ascii="Calibri" w:hAnsi="Calibri" w:cs="Calibri"/>
          <w:sz w:val="20"/>
          <w:szCs w:val="20"/>
          <w:lang w:val="pt-BR"/>
        </w:rPr>
        <w:t>2010;19: 296–300. doi:10.1016/j.yebeh.2010.06.051</w:t>
      </w:r>
    </w:p>
    <w:p w14:paraId="7503D93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127. </w:t>
      </w:r>
      <w:r w:rsidRPr="009B66A4">
        <w:rPr>
          <w:rFonts w:ascii="Calibri" w:hAnsi="Calibri" w:cs="Calibri"/>
          <w:sz w:val="20"/>
          <w:szCs w:val="20"/>
          <w:lang w:val="pt-BR"/>
        </w:rPr>
        <w:tab/>
        <w:t xml:space="preserve">Temudo T, Rios M, Prior C, Carrilho I, Santos M, Maciel P, et al. </w:t>
      </w:r>
      <w:r w:rsidRPr="009B66A4">
        <w:rPr>
          <w:rFonts w:ascii="Calibri" w:hAnsi="Calibri" w:cs="Calibri"/>
          <w:sz w:val="20"/>
          <w:szCs w:val="20"/>
        </w:rPr>
        <w:t>Evaluation of CSF neurotransmitters and folate in 25 patients with Rett disorder and effects of treatment. Brain Dev. 2009;31: 46–51. doi:10.1016/j.braindev.2008.05.003</w:t>
      </w:r>
    </w:p>
    <w:p w14:paraId="2FB06533"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128. </w:t>
      </w:r>
      <w:r w:rsidRPr="009B66A4">
        <w:rPr>
          <w:rFonts w:ascii="Calibri" w:hAnsi="Calibri" w:cs="Calibri"/>
          <w:sz w:val="20"/>
          <w:szCs w:val="20"/>
        </w:rPr>
        <w:tab/>
        <w:t>Lima FTD, Brunoni D, Schwartzman JS, Pozzi MC, Kok F, Juliano Y, et al. Genotype-phenotype correlation in Brazillian Rett syndrome patients. Arq Neuropsiquiatr. 2009;67: 577–584. doi:10.1590/S0004-282X2009000400001</w:t>
      </w:r>
    </w:p>
    <w:p w14:paraId="1D27301E"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129. </w:t>
      </w:r>
      <w:r w:rsidRPr="009B66A4">
        <w:rPr>
          <w:rFonts w:ascii="Calibri" w:hAnsi="Calibri" w:cs="Calibri"/>
          <w:sz w:val="20"/>
          <w:szCs w:val="20"/>
        </w:rPr>
        <w:tab/>
        <w:t xml:space="preserve">Motil KJ, Morrissey M, Caeg E, Barrish JO, Glaze DG. Gastrostomy Placement Improves Height and Weight Gain in Girls With Rett Syndrome. </w:t>
      </w:r>
      <w:r w:rsidRPr="009B66A4">
        <w:rPr>
          <w:rFonts w:ascii="Calibri" w:hAnsi="Calibri" w:cs="Calibri"/>
          <w:sz w:val="20"/>
          <w:szCs w:val="20"/>
          <w:lang w:val="pt-BR"/>
        </w:rPr>
        <w:t>J Pediatr Gastroenterol Nutr. 2009;49: 237–242. doi:10.1097/MPG.0b013e31818f61fd</w:t>
      </w:r>
    </w:p>
    <w:p w14:paraId="036DB988"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lastRenderedPageBreak/>
        <w:t xml:space="preserve">130. </w:t>
      </w:r>
      <w:r w:rsidRPr="009B66A4">
        <w:rPr>
          <w:rFonts w:ascii="Calibri" w:hAnsi="Calibri" w:cs="Calibri"/>
          <w:sz w:val="20"/>
          <w:szCs w:val="20"/>
          <w:lang w:val="pt-BR"/>
        </w:rPr>
        <w:tab/>
        <w:t xml:space="preserve">Temudo T, Ramos E, Dias K, Barbot C, Vieira JP, Moreira A, et al. </w:t>
      </w:r>
      <w:r w:rsidRPr="009B66A4">
        <w:rPr>
          <w:rFonts w:ascii="Calibri" w:hAnsi="Calibri" w:cs="Calibri"/>
          <w:sz w:val="20"/>
          <w:szCs w:val="20"/>
        </w:rPr>
        <w:t>Movement disorders in Rett syndrome: An analysis of 60 patients with detected MECP2 mutation and correlation with mutation type. Mov Disord. 2008;23: 1384–1390. doi:10.1002/mds.22115</w:t>
      </w:r>
    </w:p>
    <w:p w14:paraId="2373469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131. </w:t>
      </w:r>
      <w:r w:rsidRPr="009B66A4">
        <w:rPr>
          <w:rFonts w:ascii="Calibri" w:hAnsi="Calibri" w:cs="Calibri"/>
          <w:sz w:val="20"/>
          <w:szCs w:val="20"/>
        </w:rPr>
        <w:tab/>
        <w:t>Downs J, Bebbington A, Woodhead H, Jacoby P, Jian L, Jefferson A, et al. Early Determinants of Fractures in Rett Syndrome. Pediatrics. 2008;121: 540–546. doi:10.1542/peds.2007-1641</w:t>
      </w:r>
    </w:p>
    <w:p w14:paraId="1867BA77"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132. </w:t>
      </w:r>
      <w:r w:rsidRPr="009B66A4">
        <w:rPr>
          <w:rFonts w:ascii="Calibri" w:hAnsi="Calibri" w:cs="Calibri"/>
          <w:sz w:val="20"/>
          <w:szCs w:val="20"/>
        </w:rPr>
        <w:tab/>
        <w:t>Halbach NSJ, Smeets EEJ, Schrander‐Stumpel CTRM, Van Schrojenstein Lantman De Valk HHJ, Maaskant MA, Curfs LMG. Aging in people with specific genetic syndromes: Rett syndrome. Am J Med Genet A. 2008;146A: 1925–1932. doi:10.1002/ajmg.a.32361</w:t>
      </w:r>
    </w:p>
    <w:p w14:paraId="5E693621" w14:textId="77777777" w:rsidR="00F96348" w:rsidRPr="009B66A4" w:rsidRDefault="00F96348" w:rsidP="00F96348">
      <w:pPr>
        <w:pStyle w:val="Bibliography"/>
        <w:rPr>
          <w:rFonts w:ascii="Calibri" w:hAnsi="Calibri" w:cs="Calibri"/>
          <w:sz w:val="20"/>
          <w:szCs w:val="20"/>
          <w:lang w:val="pt-BR"/>
        </w:rPr>
      </w:pPr>
      <w:r w:rsidRPr="009B66A4">
        <w:rPr>
          <w:rFonts w:ascii="Calibri" w:hAnsi="Calibri" w:cs="Calibri"/>
          <w:sz w:val="20"/>
          <w:szCs w:val="20"/>
        </w:rPr>
        <w:t xml:space="preserve">133. </w:t>
      </w:r>
      <w:r w:rsidRPr="009B66A4">
        <w:rPr>
          <w:rFonts w:ascii="Calibri" w:hAnsi="Calibri" w:cs="Calibri"/>
          <w:sz w:val="20"/>
          <w:szCs w:val="20"/>
        </w:rPr>
        <w:tab/>
        <w:t xml:space="preserve">Schwartzman F, Vítolo MR, Schwartzman JS, Morais MBD. Eating practices, nutritional status and constipation in patients with Rett syndrome. </w:t>
      </w:r>
      <w:r w:rsidRPr="009B66A4">
        <w:rPr>
          <w:rFonts w:ascii="Calibri" w:hAnsi="Calibri" w:cs="Calibri"/>
          <w:sz w:val="20"/>
          <w:szCs w:val="20"/>
          <w:lang w:val="pt-BR"/>
        </w:rPr>
        <w:t>Arq Gastroenterol. 2008;45: 284–289. doi:10.1590/S0004-28032008000400005</w:t>
      </w:r>
    </w:p>
    <w:p w14:paraId="054E741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pt-BR"/>
        </w:rPr>
        <w:t xml:space="preserve">134. </w:t>
      </w:r>
      <w:r w:rsidRPr="009B66A4">
        <w:rPr>
          <w:rFonts w:ascii="Calibri" w:hAnsi="Calibri" w:cs="Calibri"/>
          <w:sz w:val="20"/>
          <w:szCs w:val="20"/>
          <w:lang w:val="pt-BR"/>
        </w:rPr>
        <w:tab/>
        <w:t xml:space="preserve">Motil KJ, Ellis KJ, Barrish JO, Caeg E, Glaze DG. </w:t>
      </w:r>
      <w:r w:rsidRPr="009B66A4">
        <w:rPr>
          <w:rFonts w:ascii="Calibri" w:hAnsi="Calibri" w:cs="Calibri"/>
          <w:sz w:val="20"/>
          <w:szCs w:val="20"/>
        </w:rPr>
        <w:t>Bone Mineral Content and Bone Mineral Density Are Lower in Older Than in Younger Females With Rett Syndrome. Pediatr Res. 2008;64: 435–439. doi:10.1203/PDR.0b013e318180ebcd</w:t>
      </w:r>
    </w:p>
    <w:p w14:paraId="2DC889F9"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135. </w:t>
      </w:r>
      <w:r w:rsidRPr="009B66A4">
        <w:rPr>
          <w:rFonts w:ascii="Calibri" w:hAnsi="Calibri" w:cs="Calibri"/>
          <w:sz w:val="20"/>
          <w:szCs w:val="20"/>
        </w:rPr>
        <w:tab/>
        <w:t>Jian L, Nagarajan L, De Klerk N, Ravine D, Christodoulou J, Leonard H. Seizures in Rett syndrome: An overview from a one-year calendar study. Eur J Paediatr Neurol. 2007;11: 310–317. doi:10.1016/j.ejpn.2007.02.008</w:t>
      </w:r>
    </w:p>
    <w:p w14:paraId="0161D35A" w14:textId="77777777" w:rsidR="00F96348" w:rsidRPr="009B66A4" w:rsidRDefault="00F96348" w:rsidP="00F96348">
      <w:pPr>
        <w:pStyle w:val="Bibliography"/>
        <w:rPr>
          <w:rFonts w:ascii="Calibri" w:hAnsi="Calibri" w:cs="Calibri"/>
          <w:sz w:val="20"/>
          <w:szCs w:val="20"/>
          <w:lang w:val="da-DK"/>
        </w:rPr>
      </w:pPr>
      <w:r w:rsidRPr="009B66A4">
        <w:rPr>
          <w:rFonts w:ascii="Calibri" w:hAnsi="Calibri" w:cs="Calibri"/>
          <w:sz w:val="20"/>
          <w:szCs w:val="20"/>
        </w:rPr>
        <w:t xml:space="preserve">136. </w:t>
      </w:r>
      <w:r w:rsidRPr="009B66A4">
        <w:rPr>
          <w:rFonts w:ascii="Calibri" w:hAnsi="Calibri" w:cs="Calibri"/>
          <w:sz w:val="20"/>
          <w:szCs w:val="20"/>
        </w:rPr>
        <w:tab/>
        <w:t xml:space="preserve">Huppke P, Köhler K, Brockmann K, Stettner GM, Gärtner J. Treatment of epilepsy in Rett syndrome. </w:t>
      </w:r>
      <w:r w:rsidRPr="009B66A4">
        <w:rPr>
          <w:rFonts w:ascii="Calibri" w:hAnsi="Calibri" w:cs="Calibri"/>
          <w:sz w:val="20"/>
          <w:szCs w:val="20"/>
          <w:lang w:val="da-DK"/>
        </w:rPr>
        <w:t>Eur J Paediatr Neurol. 2007;11: 10–16. doi:10.1016/j.ejpn.2006.09.003</w:t>
      </w:r>
    </w:p>
    <w:p w14:paraId="20F5D886"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137. </w:t>
      </w:r>
      <w:r w:rsidRPr="009B66A4">
        <w:rPr>
          <w:rFonts w:ascii="Calibri" w:hAnsi="Calibri" w:cs="Calibri"/>
          <w:sz w:val="20"/>
          <w:szCs w:val="20"/>
          <w:lang w:val="da-DK"/>
        </w:rPr>
        <w:tab/>
        <w:t xml:space="preserve">Jian L, Nagarajan L, De Klerk N, Ravine D, Bower C, Anderson A, et al. </w:t>
      </w:r>
      <w:r w:rsidRPr="009B66A4">
        <w:rPr>
          <w:rFonts w:ascii="Calibri" w:hAnsi="Calibri" w:cs="Calibri"/>
          <w:sz w:val="20"/>
          <w:szCs w:val="20"/>
        </w:rPr>
        <w:t>Predictors of seizure onset in Rett syndrome. J Pediatr. 2006;149: 542-547.e3. doi:10.1016/j.jpeds.2006.06.015</w:t>
      </w:r>
    </w:p>
    <w:p w14:paraId="12804255"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lang w:val="da-DK"/>
        </w:rPr>
        <w:t xml:space="preserve">138. </w:t>
      </w:r>
      <w:r w:rsidRPr="009B66A4">
        <w:rPr>
          <w:rFonts w:ascii="Calibri" w:hAnsi="Calibri" w:cs="Calibri"/>
          <w:sz w:val="20"/>
          <w:szCs w:val="20"/>
          <w:lang w:val="da-DK"/>
        </w:rPr>
        <w:tab/>
        <w:t xml:space="preserve">Lavås J, Slotte A, Jochym-Nygren M, Van Doorn J, Engerström IW. </w:t>
      </w:r>
      <w:r w:rsidRPr="009B66A4">
        <w:rPr>
          <w:rFonts w:ascii="Calibri" w:hAnsi="Calibri" w:cs="Calibri"/>
          <w:sz w:val="20"/>
          <w:szCs w:val="20"/>
        </w:rPr>
        <w:t>Communication and eating proficiency in 125 females with Rett syndrome: The Swedish Rett center survey. Disabil Rehabil. 2006;28: 1267–1279. doi:10.1080/09638280600554868</w:t>
      </w:r>
    </w:p>
    <w:p w14:paraId="5D7D77F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139. </w:t>
      </w:r>
      <w:r w:rsidRPr="009B66A4">
        <w:rPr>
          <w:rFonts w:ascii="Calibri" w:hAnsi="Calibri" w:cs="Calibri"/>
          <w:sz w:val="20"/>
          <w:szCs w:val="20"/>
        </w:rPr>
        <w:tab/>
        <w:t>Tofil NM, Buckmaster MA, Winkler MK, Callans BH, Islam MP, Percy AK. Deep Sedation With Propofol in Patients With Rett Syndrome. J Child Neurol. 2006;21: 857–860. doi:10.1177/08830738060210100101</w:t>
      </w:r>
    </w:p>
    <w:p w14:paraId="316FAF42"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140. </w:t>
      </w:r>
      <w:r w:rsidRPr="009B66A4">
        <w:rPr>
          <w:rFonts w:ascii="Calibri" w:hAnsi="Calibri" w:cs="Calibri"/>
          <w:sz w:val="20"/>
          <w:szCs w:val="20"/>
        </w:rPr>
        <w:tab/>
        <w:t xml:space="preserve">Kerr AM, Archer HL, Evans JC, Prescott RJ, Gibbon F. People with </w:t>
      </w:r>
      <w:r w:rsidRPr="009B66A4">
        <w:rPr>
          <w:rFonts w:ascii="Calibri" w:hAnsi="Calibri" w:cs="Calibri"/>
          <w:i/>
          <w:iCs/>
          <w:sz w:val="20"/>
          <w:szCs w:val="20"/>
        </w:rPr>
        <w:t>MECP2</w:t>
      </w:r>
      <w:r w:rsidRPr="009B66A4">
        <w:rPr>
          <w:rFonts w:ascii="Calibri" w:hAnsi="Calibri" w:cs="Calibri"/>
          <w:sz w:val="20"/>
          <w:szCs w:val="20"/>
        </w:rPr>
        <w:t xml:space="preserve"> mutation‐positive Rett disorder who converse. J Intellect Disabil Res. 2006;50: 386–394. doi:10.1111/j.1365-2788.2005.00786.x</w:t>
      </w:r>
    </w:p>
    <w:p w14:paraId="24A3507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141. </w:t>
      </w:r>
      <w:r w:rsidRPr="009B66A4">
        <w:rPr>
          <w:rFonts w:ascii="Calibri" w:hAnsi="Calibri" w:cs="Calibri"/>
          <w:sz w:val="20"/>
          <w:szCs w:val="20"/>
        </w:rPr>
        <w:tab/>
        <w:t>Ormazabal A, Artuch R, Vilaseca MA, Aracil A, Pineda M. Cerebrospinal Fluid Concentrations of Folate, Biogenic Amines and Pterins in Rett Syndrome: Treatment with Folinic Acid. Neuropediatrics. 2005;36: 380–385. doi:10.1055/s-2005-873078</w:t>
      </w:r>
    </w:p>
    <w:p w14:paraId="2851D43F"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142. </w:t>
      </w:r>
      <w:r w:rsidRPr="009B66A4">
        <w:rPr>
          <w:rFonts w:ascii="Calibri" w:hAnsi="Calibri" w:cs="Calibri"/>
          <w:sz w:val="20"/>
          <w:szCs w:val="20"/>
        </w:rPr>
        <w:tab/>
        <w:t>Guideri F, Acampa M, Calamandrei G, Aloe L, Zappella M, Hayek Y. Nerve Growth Factor Plasma Levels and Ventricular Repolarization in Rett Syndrome. Pediatr Cardiol. 2004;25. doi:10.1007/s00246-002-0406-y</w:t>
      </w:r>
    </w:p>
    <w:p w14:paraId="66483C84"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lastRenderedPageBreak/>
        <w:t xml:space="preserve">143. </w:t>
      </w:r>
      <w:r w:rsidRPr="009B66A4">
        <w:rPr>
          <w:rFonts w:ascii="Calibri" w:hAnsi="Calibri" w:cs="Calibri"/>
          <w:sz w:val="20"/>
          <w:szCs w:val="20"/>
        </w:rPr>
        <w:tab/>
        <w:t>Pozzi CM, Rosemberg S. Rett syndrome: clinical and epidemiological aspects in a Brazilian institution. Arq Neuropsiquiatr. 2003;61: 909–915. doi:10.1590/S0004-282X2003000600004</w:t>
      </w:r>
    </w:p>
    <w:p w14:paraId="7C4686AA"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144. </w:t>
      </w:r>
      <w:r w:rsidRPr="009B66A4">
        <w:rPr>
          <w:rFonts w:ascii="Calibri" w:hAnsi="Calibri" w:cs="Calibri"/>
          <w:sz w:val="20"/>
          <w:szCs w:val="20"/>
        </w:rPr>
        <w:tab/>
        <w:t>Pillion JP, Rawool VW, Bibat G, Naidu S. Prevalence of hearing loss in Rett syndrome. Dev Med Child Neurol. 2003;45. doi:10.1017/S0012162203000628</w:t>
      </w:r>
    </w:p>
    <w:p w14:paraId="38A92B7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145. </w:t>
      </w:r>
      <w:r w:rsidRPr="009B66A4">
        <w:rPr>
          <w:rFonts w:ascii="Calibri" w:hAnsi="Calibri" w:cs="Calibri"/>
          <w:sz w:val="20"/>
          <w:szCs w:val="20"/>
        </w:rPr>
        <w:tab/>
        <w:t>Cass H, Reilly S, Owen L, Wisbeach A, Weekes L, Slonims V, et al. Findings from a multidisciplinary clinical case series of females with Rett syndrome. Dev Med Child Neurol. 2003;45. doi:10.1017/S0012162203000616</w:t>
      </w:r>
    </w:p>
    <w:p w14:paraId="4CF5F41C"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146. </w:t>
      </w:r>
      <w:r w:rsidRPr="009B66A4">
        <w:rPr>
          <w:rFonts w:ascii="Calibri" w:hAnsi="Calibri" w:cs="Calibri"/>
          <w:sz w:val="20"/>
          <w:szCs w:val="20"/>
        </w:rPr>
        <w:tab/>
        <w:t>Julu POO, Kerr AM, Apartopoulos F, Al-Rawas S, Engerström IW, Engerström L, et al. Characterisation of breathing and associated central autonomic dysfunction in the Rett disorder. Arch Dis Child. 2001;85: 29–37. doi:10.1136/adc.85.1.29</w:t>
      </w:r>
    </w:p>
    <w:p w14:paraId="12A2BBA1"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147. </w:t>
      </w:r>
      <w:r w:rsidRPr="009B66A4">
        <w:rPr>
          <w:rFonts w:ascii="Calibri" w:hAnsi="Calibri" w:cs="Calibri"/>
          <w:sz w:val="20"/>
          <w:szCs w:val="20"/>
        </w:rPr>
        <w:tab/>
        <w:t>Kerr AM, Belichenko P, Woodcock T, Woodcock M. Mind and brain in Rett disorder. Brain Dev. 2001;23: S44–S49. doi:10.1016/S0387-7604(01)00337-0</w:t>
      </w:r>
    </w:p>
    <w:p w14:paraId="0804C0B8" w14:textId="77777777" w:rsidR="00F96348" w:rsidRPr="009B66A4" w:rsidRDefault="00F96348" w:rsidP="00F96348">
      <w:pPr>
        <w:pStyle w:val="Bibliography"/>
        <w:rPr>
          <w:rFonts w:ascii="Calibri" w:hAnsi="Calibri" w:cs="Calibri"/>
          <w:sz w:val="20"/>
          <w:szCs w:val="20"/>
        </w:rPr>
      </w:pPr>
      <w:r w:rsidRPr="009B66A4">
        <w:rPr>
          <w:rFonts w:ascii="Calibri" w:hAnsi="Calibri" w:cs="Calibri"/>
          <w:sz w:val="20"/>
          <w:szCs w:val="20"/>
        </w:rPr>
        <w:t xml:space="preserve">148. </w:t>
      </w:r>
      <w:r w:rsidRPr="009B66A4">
        <w:rPr>
          <w:rFonts w:ascii="Calibri" w:hAnsi="Calibri" w:cs="Calibri"/>
          <w:sz w:val="20"/>
          <w:szCs w:val="20"/>
        </w:rPr>
        <w:tab/>
        <w:t xml:space="preserve">Satoi M, Matsuishi T, Yamada S, Yamashita Y, Ohtaki E, Mori K, et al. Decreased cerebrospinal fluid levels of beta-phenylethylamine in patients with Rett syndrome. Ann Neurol. 2000;47: 801–803. </w:t>
      </w:r>
    </w:p>
    <w:p w14:paraId="6B64C0FA" w14:textId="19399C58" w:rsidR="009459E0" w:rsidRPr="009B66A4" w:rsidRDefault="00F96348" w:rsidP="00871031">
      <w:pPr>
        <w:tabs>
          <w:tab w:val="left" w:pos="1590"/>
        </w:tabs>
        <w:rPr>
          <w:rFonts w:ascii="Calibri" w:eastAsia="Times New Roman" w:hAnsi="Calibri" w:cs="Calibri"/>
          <w:b/>
          <w:bCs/>
          <w:color w:val="000000"/>
          <w:kern w:val="0"/>
          <w:sz w:val="20"/>
          <w:szCs w:val="20"/>
          <w14:ligatures w14:val="none"/>
        </w:rPr>
        <w:sectPr w:rsidR="009459E0" w:rsidRPr="009B66A4" w:rsidSect="002A131B">
          <w:pgSz w:w="15840" w:h="12240" w:orient="landscape"/>
          <w:pgMar w:top="1440" w:right="720" w:bottom="1440" w:left="720" w:header="720" w:footer="720" w:gutter="0"/>
          <w:cols w:space="720"/>
          <w:docGrid w:linePitch="360"/>
        </w:sectPr>
      </w:pPr>
      <w:r w:rsidRPr="009B66A4">
        <w:rPr>
          <w:rFonts w:ascii="Calibri" w:eastAsia="Times New Roman" w:hAnsi="Calibri" w:cs="Calibri"/>
          <w:b/>
          <w:bCs/>
          <w:color w:val="000000"/>
          <w:kern w:val="0"/>
          <w:sz w:val="20"/>
          <w:szCs w:val="20"/>
          <w14:ligatures w14:val="none"/>
        </w:rPr>
        <w:fldChar w:fldCharType="end"/>
      </w:r>
    </w:p>
    <w:p w14:paraId="5794C617" w14:textId="6B41923E" w:rsidR="000E6E06" w:rsidRPr="009B66A4" w:rsidRDefault="000E6E06" w:rsidP="00D313E9">
      <w:pPr>
        <w:rPr>
          <w:rFonts w:ascii="Calibri" w:hAnsi="Calibri" w:cs="Calibri"/>
          <w:sz w:val="20"/>
          <w:szCs w:val="20"/>
        </w:rPr>
      </w:pPr>
    </w:p>
    <w:sectPr w:rsidR="000E6E06" w:rsidRPr="009B66A4" w:rsidSect="002A131B">
      <w:pgSz w:w="15840" w:h="12240" w:orient="landscape"/>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1B"/>
    <w:rsid w:val="00027C67"/>
    <w:rsid w:val="00043972"/>
    <w:rsid w:val="00056D69"/>
    <w:rsid w:val="00077E41"/>
    <w:rsid w:val="000813F3"/>
    <w:rsid w:val="000B2CED"/>
    <w:rsid w:val="000E6E06"/>
    <w:rsid w:val="00105BCC"/>
    <w:rsid w:val="0012784A"/>
    <w:rsid w:val="00130891"/>
    <w:rsid w:val="001437CE"/>
    <w:rsid w:val="001544EF"/>
    <w:rsid w:val="00162ADF"/>
    <w:rsid w:val="00166D52"/>
    <w:rsid w:val="00185C4F"/>
    <w:rsid w:val="001B620F"/>
    <w:rsid w:val="001C343B"/>
    <w:rsid w:val="0020605D"/>
    <w:rsid w:val="002149CD"/>
    <w:rsid w:val="00217C60"/>
    <w:rsid w:val="00237A3B"/>
    <w:rsid w:val="0026151D"/>
    <w:rsid w:val="002649D0"/>
    <w:rsid w:val="0026723D"/>
    <w:rsid w:val="0027189A"/>
    <w:rsid w:val="00281096"/>
    <w:rsid w:val="00283C66"/>
    <w:rsid w:val="002923ED"/>
    <w:rsid w:val="002A131B"/>
    <w:rsid w:val="002C21A8"/>
    <w:rsid w:val="002E4BDD"/>
    <w:rsid w:val="002E6C06"/>
    <w:rsid w:val="002F09F8"/>
    <w:rsid w:val="00302A4B"/>
    <w:rsid w:val="003145F9"/>
    <w:rsid w:val="00316DD2"/>
    <w:rsid w:val="00324327"/>
    <w:rsid w:val="003305CA"/>
    <w:rsid w:val="003344A4"/>
    <w:rsid w:val="003375F9"/>
    <w:rsid w:val="003419DE"/>
    <w:rsid w:val="00345C3E"/>
    <w:rsid w:val="003564CB"/>
    <w:rsid w:val="003565B2"/>
    <w:rsid w:val="00390BA3"/>
    <w:rsid w:val="003B7148"/>
    <w:rsid w:val="003D686A"/>
    <w:rsid w:val="003F7AF5"/>
    <w:rsid w:val="00402DFE"/>
    <w:rsid w:val="00424F1A"/>
    <w:rsid w:val="0045679D"/>
    <w:rsid w:val="0045737C"/>
    <w:rsid w:val="00470049"/>
    <w:rsid w:val="0047190B"/>
    <w:rsid w:val="00496C2B"/>
    <w:rsid w:val="004D5B28"/>
    <w:rsid w:val="004D6A64"/>
    <w:rsid w:val="004F03F7"/>
    <w:rsid w:val="005022A3"/>
    <w:rsid w:val="005110A3"/>
    <w:rsid w:val="00535848"/>
    <w:rsid w:val="005361D4"/>
    <w:rsid w:val="00537D6D"/>
    <w:rsid w:val="00546978"/>
    <w:rsid w:val="0057784B"/>
    <w:rsid w:val="00581A3C"/>
    <w:rsid w:val="0058683F"/>
    <w:rsid w:val="005907A7"/>
    <w:rsid w:val="005C5956"/>
    <w:rsid w:val="00672CAB"/>
    <w:rsid w:val="006938E4"/>
    <w:rsid w:val="00695B8B"/>
    <w:rsid w:val="006A417D"/>
    <w:rsid w:val="006B02E7"/>
    <w:rsid w:val="006B0A08"/>
    <w:rsid w:val="006B3B88"/>
    <w:rsid w:val="006C048B"/>
    <w:rsid w:val="006C20DB"/>
    <w:rsid w:val="006D1BB8"/>
    <w:rsid w:val="006D4DE0"/>
    <w:rsid w:val="00704320"/>
    <w:rsid w:val="00704DD5"/>
    <w:rsid w:val="00713B5E"/>
    <w:rsid w:val="0071466C"/>
    <w:rsid w:val="00724690"/>
    <w:rsid w:val="00724E6F"/>
    <w:rsid w:val="007326AD"/>
    <w:rsid w:val="0074394B"/>
    <w:rsid w:val="00744203"/>
    <w:rsid w:val="007754B1"/>
    <w:rsid w:val="0078308A"/>
    <w:rsid w:val="00785FEE"/>
    <w:rsid w:val="00786B67"/>
    <w:rsid w:val="007A2F4D"/>
    <w:rsid w:val="007C0B5C"/>
    <w:rsid w:val="007C46F1"/>
    <w:rsid w:val="00802DC2"/>
    <w:rsid w:val="00804EA5"/>
    <w:rsid w:val="00825525"/>
    <w:rsid w:val="0083174D"/>
    <w:rsid w:val="00835583"/>
    <w:rsid w:val="008359F5"/>
    <w:rsid w:val="00835F79"/>
    <w:rsid w:val="0084072A"/>
    <w:rsid w:val="00845307"/>
    <w:rsid w:val="00861FF9"/>
    <w:rsid w:val="0086366A"/>
    <w:rsid w:val="00870814"/>
    <w:rsid w:val="00871031"/>
    <w:rsid w:val="008A7F13"/>
    <w:rsid w:val="008B2BA7"/>
    <w:rsid w:val="008B68CC"/>
    <w:rsid w:val="008C1616"/>
    <w:rsid w:val="00915045"/>
    <w:rsid w:val="0092409E"/>
    <w:rsid w:val="00930637"/>
    <w:rsid w:val="00942AAA"/>
    <w:rsid w:val="009459E0"/>
    <w:rsid w:val="00957A34"/>
    <w:rsid w:val="00965178"/>
    <w:rsid w:val="009948F7"/>
    <w:rsid w:val="009B66A4"/>
    <w:rsid w:val="009B772D"/>
    <w:rsid w:val="009C3F4D"/>
    <w:rsid w:val="009D5B48"/>
    <w:rsid w:val="009D6644"/>
    <w:rsid w:val="00A27E16"/>
    <w:rsid w:val="00A3759F"/>
    <w:rsid w:val="00A4707C"/>
    <w:rsid w:val="00A475D8"/>
    <w:rsid w:val="00A55D7B"/>
    <w:rsid w:val="00A57CD7"/>
    <w:rsid w:val="00A67766"/>
    <w:rsid w:val="00A72A64"/>
    <w:rsid w:val="00A80319"/>
    <w:rsid w:val="00AA0786"/>
    <w:rsid w:val="00AA198C"/>
    <w:rsid w:val="00AB3F7E"/>
    <w:rsid w:val="00AB6958"/>
    <w:rsid w:val="00AD3B0F"/>
    <w:rsid w:val="00AE6A6A"/>
    <w:rsid w:val="00B158A1"/>
    <w:rsid w:val="00B1675A"/>
    <w:rsid w:val="00B16F49"/>
    <w:rsid w:val="00B20F38"/>
    <w:rsid w:val="00B23131"/>
    <w:rsid w:val="00B256DE"/>
    <w:rsid w:val="00B4345B"/>
    <w:rsid w:val="00B4666A"/>
    <w:rsid w:val="00B55F48"/>
    <w:rsid w:val="00B63ADC"/>
    <w:rsid w:val="00BB0DD4"/>
    <w:rsid w:val="00BB2A2D"/>
    <w:rsid w:val="00BC0D27"/>
    <w:rsid w:val="00BC36ED"/>
    <w:rsid w:val="00BC5B4A"/>
    <w:rsid w:val="00BD3DBE"/>
    <w:rsid w:val="00BE61AB"/>
    <w:rsid w:val="00C00ACA"/>
    <w:rsid w:val="00C061C3"/>
    <w:rsid w:val="00C22C55"/>
    <w:rsid w:val="00C51172"/>
    <w:rsid w:val="00C56AE4"/>
    <w:rsid w:val="00C63E62"/>
    <w:rsid w:val="00C647B9"/>
    <w:rsid w:val="00C83097"/>
    <w:rsid w:val="00C834B4"/>
    <w:rsid w:val="00C95937"/>
    <w:rsid w:val="00CC34BA"/>
    <w:rsid w:val="00CC70B1"/>
    <w:rsid w:val="00CD0F5C"/>
    <w:rsid w:val="00CD13DE"/>
    <w:rsid w:val="00CE00F7"/>
    <w:rsid w:val="00D12959"/>
    <w:rsid w:val="00D313E9"/>
    <w:rsid w:val="00D340CC"/>
    <w:rsid w:val="00D34894"/>
    <w:rsid w:val="00D34FA1"/>
    <w:rsid w:val="00D416B9"/>
    <w:rsid w:val="00D67703"/>
    <w:rsid w:val="00D81E58"/>
    <w:rsid w:val="00D8711D"/>
    <w:rsid w:val="00DB45B2"/>
    <w:rsid w:val="00DD5343"/>
    <w:rsid w:val="00DE07F1"/>
    <w:rsid w:val="00E009FF"/>
    <w:rsid w:val="00E05EDA"/>
    <w:rsid w:val="00E070BD"/>
    <w:rsid w:val="00E31645"/>
    <w:rsid w:val="00E47AE3"/>
    <w:rsid w:val="00E53DE3"/>
    <w:rsid w:val="00E55CCE"/>
    <w:rsid w:val="00E60EB9"/>
    <w:rsid w:val="00E76DD7"/>
    <w:rsid w:val="00E87B65"/>
    <w:rsid w:val="00E90CB7"/>
    <w:rsid w:val="00E92050"/>
    <w:rsid w:val="00EC3AC0"/>
    <w:rsid w:val="00ED3C1C"/>
    <w:rsid w:val="00EE2598"/>
    <w:rsid w:val="00F0531C"/>
    <w:rsid w:val="00F10530"/>
    <w:rsid w:val="00F10A2C"/>
    <w:rsid w:val="00F260D3"/>
    <w:rsid w:val="00F30662"/>
    <w:rsid w:val="00F3326E"/>
    <w:rsid w:val="00F638D7"/>
    <w:rsid w:val="00F72392"/>
    <w:rsid w:val="00F82383"/>
    <w:rsid w:val="00F96348"/>
    <w:rsid w:val="00FA17CE"/>
    <w:rsid w:val="00FB06DE"/>
    <w:rsid w:val="00FB34DF"/>
    <w:rsid w:val="00FE4519"/>
    <w:rsid w:val="00FE68D3"/>
    <w:rsid w:val="00FF391D"/>
    <w:rsid w:val="00FF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32DA"/>
  <w15:chartTrackingRefBased/>
  <w15:docId w15:val="{AF0702FD-D05A-4B96-9113-9B0E7606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3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3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3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3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3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3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3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3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3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3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3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3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3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3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3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31B"/>
    <w:rPr>
      <w:rFonts w:eastAsiaTheme="majorEastAsia" w:cstheme="majorBidi"/>
      <w:color w:val="272727" w:themeColor="text1" w:themeTint="D8"/>
    </w:rPr>
  </w:style>
  <w:style w:type="paragraph" w:styleId="Title">
    <w:name w:val="Title"/>
    <w:basedOn w:val="Normal"/>
    <w:next w:val="Normal"/>
    <w:link w:val="TitleChar"/>
    <w:uiPriority w:val="10"/>
    <w:qFormat/>
    <w:rsid w:val="002A1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3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3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31B"/>
    <w:pPr>
      <w:spacing w:before="160"/>
      <w:jc w:val="center"/>
    </w:pPr>
    <w:rPr>
      <w:i/>
      <w:iCs/>
      <w:color w:val="404040" w:themeColor="text1" w:themeTint="BF"/>
    </w:rPr>
  </w:style>
  <w:style w:type="character" w:customStyle="1" w:styleId="QuoteChar">
    <w:name w:val="Quote Char"/>
    <w:basedOn w:val="DefaultParagraphFont"/>
    <w:link w:val="Quote"/>
    <w:uiPriority w:val="29"/>
    <w:rsid w:val="002A131B"/>
    <w:rPr>
      <w:i/>
      <w:iCs/>
      <w:color w:val="404040" w:themeColor="text1" w:themeTint="BF"/>
    </w:rPr>
  </w:style>
  <w:style w:type="paragraph" w:styleId="ListParagraph">
    <w:name w:val="List Paragraph"/>
    <w:basedOn w:val="Normal"/>
    <w:uiPriority w:val="34"/>
    <w:qFormat/>
    <w:rsid w:val="002A131B"/>
    <w:pPr>
      <w:ind w:left="720"/>
      <w:contextualSpacing/>
    </w:pPr>
  </w:style>
  <w:style w:type="character" w:styleId="IntenseEmphasis">
    <w:name w:val="Intense Emphasis"/>
    <w:basedOn w:val="DefaultParagraphFont"/>
    <w:uiPriority w:val="21"/>
    <w:qFormat/>
    <w:rsid w:val="002A131B"/>
    <w:rPr>
      <w:i/>
      <w:iCs/>
      <w:color w:val="0F4761" w:themeColor="accent1" w:themeShade="BF"/>
    </w:rPr>
  </w:style>
  <w:style w:type="paragraph" w:styleId="IntenseQuote">
    <w:name w:val="Intense Quote"/>
    <w:basedOn w:val="Normal"/>
    <w:next w:val="Normal"/>
    <w:link w:val="IntenseQuoteChar"/>
    <w:uiPriority w:val="30"/>
    <w:qFormat/>
    <w:rsid w:val="002A13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31B"/>
    <w:rPr>
      <w:i/>
      <w:iCs/>
      <w:color w:val="0F4761" w:themeColor="accent1" w:themeShade="BF"/>
    </w:rPr>
  </w:style>
  <w:style w:type="character" w:styleId="IntenseReference">
    <w:name w:val="Intense Reference"/>
    <w:basedOn w:val="DefaultParagraphFont"/>
    <w:uiPriority w:val="32"/>
    <w:qFormat/>
    <w:rsid w:val="002A131B"/>
    <w:rPr>
      <w:b/>
      <w:bCs/>
      <w:smallCaps/>
      <w:color w:val="0F4761" w:themeColor="accent1" w:themeShade="BF"/>
      <w:spacing w:val="5"/>
    </w:rPr>
  </w:style>
  <w:style w:type="character" w:styleId="Hyperlink">
    <w:name w:val="Hyperlink"/>
    <w:basedOn w:val="DefaultParagraphFont"/>
    <w:uiPriority w:val="99"/>
    <w:semiHidden/>
    <w:unhideWhenUsed/>
    <w:rsid w:val="002A131B"/>
    <w:rPr>
      <w:color w:val="467886"/>
      <w:u w:val="single"/>
    </w:rPr>
  </w:style>
  <w:style w:type="character" w:styleId="FollowedHyperlink">
    <w:name w:val="FollowedHyperlink"/>
    <w:basedOn w:val="DefaultParagraphFont"/>
    <w:uiPriority w:val="99"/>
    <w:semiHidden/>
    <w:unhideWhenUsed/>
    <w:rsid w:val="002A131B"/>
    <w:rPr>
      <w:color w:val="96607D"/>
      <w:u w:val="single"/>
    </w:rPr>
  </w:style>
  <w:style w:type="paragraph" w:customStyle="1" w:styleId="msonormal0">
    <w:name w:val="msonormal"/>
    <w:basedOn w:val="Normal"/>
    <w:rsid w:val="002A13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2A131B"/>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6">
    <w:name w:val="font6"/>
    <w:basedOn w:val="Normal"/>
    <w:rsid w:val="002A131B"/>
    <w:pPr>
      <w:spacing w:before="100" w:beforeAutospacing="1" w:after="100" w:afterAutospacing="1" w:line="240" w:lineRule="auto"/>
    </w:pPr>
    <w:rPr>
      <w:rFonts w:ascii="Times New Roman" w:eastAsia="Times New Roman" w:hAnsi="Times New Roman" w:cs="Times New Roman"/>
      <w:b/>
      <w:bCs/>
      <w:color w:val="000000"/>
      <w:kern w:val="0"/>
      <w:sz w:val="20"/>
      <w:szCs w:val="20"/>
      <w14:ligatures w14:val="none"/>
    </w:rPr>
  </w:style>
  <w:style w:type="paragraph" w:customStyle="1" w:styleId="font7">
    <w:name w:val="font7"/>
    <w:basedOn w:val="Normal"/>
    <w:rsid w:val="002A131B"/>
    <w:pPr>
      <w:spacing w:before="100" w:beforeAutospacing="1" w:after="100" w:afterAutospacing="1" w:line="240" w:lineRule="auto"/>
    </w:pPr>
    <w:rPr>
      <w:rFonts w:ascii="Times New Roman" w:eastAsia="Times New Roman" w:hAnsi="Times New Roman" w:cs="Times New Roman"/>
      <w:b/>
      <w:bCs/>
      <w:color w:val="FFFFFF"/>
      <w:kern w:val="0"/>
      <w:sz w:val="18"/>
      <w:szCs w:val="18"/>
      <w14:ligatures w14:val="none"/>
    </w:rPr>
  </w:style>
  <w:style w:type="paragraph" w:customStyle="1" w:styleId="font8">
    <w:name w:val="font8"/>
    <w:basedOn w:val="Normal"/>
    <w:rsid w:val="002A131B"/>
    <w:pPr>
      <w:spacing w:before="100" w:beforeAutospacing="1" w:after="100" w:afterAutospacing="1" w:line="240" w:lineRule="auto"/>
    </w:pPr>
    <w:rPr>
      <w:rFonts w:ascii="Times New Roman" w:eastAsia="Times New Roman" w:hAnsi="Times New Roman" w:cs="Times New Roman"/>
      <w:b/>
      <w:bCs/>
      <w:color w:val="FFFFFF"/>
      <w:kern w:val="0"/>
      <w:sz w:val="20"/>
      <w:szCs w:val="20"/>
      <w14:ligatures w14:val="none"/>
    </w:rPr>
  </w:style>
  <w:style w:type="paragraph" w:customStyle="1" w:styleId="font9">
    <w:name w:val="font9"/>
    <w:basedOn w:val="Normal"/>
    <w:rsid w:val="002A131B"/>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10">
    <w:name w:val="font10"/>
    <w:basedOn w:val="Normal"/>
    <w:rsid w:val="002A131B"/>
    <w:pPr>
      <w:spacing w:before="100" w:beforeAutospacing="1" w:after="100" w:afterAutospacing="1" w:line="240" w:lineRule="auto"/>
    </w:pPr>
    <w:rPr>
      <w:rFonts w:ascii="Times New Roman" w:eastAsia="Times New Roman" w:hAnsi="Times New Roman" w:cs="Times New Roman"/>
      <w:color w:val="000000"/>
      <w:kern w:val="0"/>
      <w:sz w:val="18"/>
      <w:szCs w:val="18"/>
      <w14:ligatures w14:val="none"/>
    </w:rPr>
  </w:style>
  <w:style w:type="paragraph" w:customStyle="1" w:styleId="xl63">
    <w:name w:val="xl63"/>
    <w:basedOn w:val="Normal"/>
    <w:rsid w:val="002A131B"/>
    <w:pPr>
      <w:pBdr>
        <w:top w:val="single" w:sz="8" w:space="0" w:color="auto"/>
        <w:left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14:ligatures w14:val="none"/>
    </w:rPr>
  </w:style>
  <w:style w:type="paragraph" w:customStyle="1" w:styleId="xl64">
    <w:name w:val="xl64"/>
    <w:basedOn w:val="Normal"/>
    <w:rsid w:val="002A131B"/>
    <w:pPr>
      <w:pBdr>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color w:val="FFFFFF"/>
      <w:kern w:val="0"/>
      <w:sz w:val="20"/>
      <w:szCs w:val="20"/>
      <w14:ligatures w14:val="none"/>
    </w:rPr>
  </w:style>
  <w:style w:type="paragraph" w:customStyle="1" w:styleId="xl65">
    <w:name w:val="xl65"/>
    <w:basedOn w:val="Normal"/>
    <w:rsid w:val="002A131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66">
    <w:name w:val="xl66"/>
    <w:basedOn w:val="Normal"/>
    <w:rsid w:val="002A13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2A13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8">
    <w:name w:val="xl68"/>
    <w:basedOn w:val="Normal"/>
    <w:rsid w:val="002A13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9">
    <w:name w:val="xl69"/>
    <w:basedOn w:val="Normal"/>
    <w:rsid w:val="002A131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70">
    <w:name w:val="xl70"/>
    <w:basedOn w:val="Normal"/>
    <w:rsid w:val="002A13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71">
    <w:name w:val="xl71"/>
    <w:basedOn w:val="Normal"/>
    <w:rsid w:val="002A13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72">
    <w:name w:val="xl72"/>
    <w:basedOn w:val="Normal"/>
    <w:rsid w:val="002A13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73">
    <w:name w:val="xl73"/>
    <w:basedOn w:val="Normal"/>
    <w:rsid w:val="002A131B"/>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74">
    <w:name w:val="xl74"/>
    <w:basedOn w:val="Normal"/>
    <w:rsid w:val="002A131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75">
    <w:name w:val="xl75"/>
    <w:basedOn w:val="Normal"/>
    <w:rsid w:val="002A131B"/>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76">
    <w:name w:val="xl76"/>
    <w:basedOn w:val="Normal"/>
    <w:rsid w:val="002A131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77">
    <w:name w:val="xl77"/>
    <w:basedOn w:val="Normal"/>
    <w:rsid w:val="002A13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u w:val="single"/>
      <w14:ligatures w14:val="none"/>
    </w:rPr>
  </w:style>
  <w:style w:type="paragraph" w:customStyle="1" w:styleId="xl78">
    <w:name w:val="xl78"/>
    <w:basedOn w:val="Normal"/>
    <w:rsid w:val="002A13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u w:val="single"/>
      <w14:ligatures w14:val="none"/>
    </w:rPr>
  </w:style>
  <w:style w:type="paragraph" w:customStyle="1" w:styleId="xl79">
    <w:name w:val="xl79"/>
    <w:basedOn w:val="Normal"/>
    <w:rsid w:val="002A131B"/>
    <w:pPr>
      <w:pBdr>
        <w:top w:val="single" w:sz="8" w:space="0" w:color="auto"/>
        <w:left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14:ligatures w14:val="none"/>
    </w:rPr>
  </w:style>
  <w:style w:type="paragraph" w:customStyle="1" w:styleId="xl80">
    <w:name w:val="xl80"/>
    <w:basedOn w:val="Normal"/>
    <w:rsid w:val="002A131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1">
    <w:name w:val="xl81"/>
    <w:basedOn w:val="Normal"/>
    <w:rsid w:val="002A1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2">
    <w:name w:val="xl82"/>
    <w:basedOn w:val="Normal"/>
    <w:rsid w:val="002A1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3">
    <w:name w:val="xl83"/>
    <w:basedOn w:val="Normal"/>
    <w:rsid w:val="002A1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84">
    <w:name w:val="xl84"/>
    <w:basedOn w:val="Normal"/>
    <w:rsid w:val="002A1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85">
    <w:name w:val="xl85"/>
    <w:basedOn w:val="Normal"/>
    <w:rsid w:val="002A131B"/>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14:ligatures w14:val="none"/>
    </w:rPr>
  </w:style>
  <w:style w:type="paragraph" w:customStyle="1" w:styleId="xl86">
    <w:name w:val="xl86"/>
    <w:basedOn w:val="Normal"/>
    <w:rsid w:val="002A131B"/>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14:ligatures w14:val="none"/>
    </w:rPr>
  </w:style>
  <w:style w:type="paragraph" w:customStyle="1" w:styleId="xl87">
    <w:name w:val="xl87"/>
    <w:basedOn w:val="Normal"/>
    <w:rsid w:val="002A131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14:ligatures w14:val="none"/>
    </w:rPr>
  </w:style>
  <w:style w:type="paragraph" w:customStyle="1" w:styleId="xl88">
    <w:name w:val="xl88"/>
    <w:basedOn w:val="Normal"/>
    <w:rsid w:val="002A13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9">
    <w:name w:val="xl89"/>
    <w:basedOn w:val="Normal"/>
    <w:rsid w:val="002A131B"/>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14:ligatures w14:val="none"/>
    </w:rPr>
  </w:style>
  <w:style w:type="paragraph" w:customStyle="1" w:styleId="xl90">
    <w:name w:val="xl90"/>
    <w:basedOn w:val="Normal"/>
    <w:rsid w:val="002A131B"/>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14:ligatures w14:val="none"/>
    </w:rPr>
  </w:style>
  <w:style w:type="paragraph" w:customStyle="1" w:styleId="xl91">
    <w:name w:val="xl91"/>
    <w:basedOn w:val="Normal"/>
    <w:rsid w:val="002A131B"/>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14:ligatures w14:val="none"/>
    </w:rPr>
  </w:style>
  <w:style w:type="paragraph" w:customStyle="1" w:styleId="xl92">
    <w:name w:val="xl92"/>
    <w:basedOn w:val="Normal"/>
    <w:rsid w:val="002A131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93">
    <w:name w:val="xl93"/>
    <w:basedOn w:val="Normal"/>
    <w:rsid w:val="002A131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94">
    <w:name w:val="xl94"/>
    <w:basedOn w:val="Normal"/>
    <w:rsid w:val="002A131B"/>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95">
    <w:name w:val="xl95"/>
    <w:basedOn w:val="Normal"/>
    <w:rsid w:val="002A131B"/>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96">
    <w:name w:val="xl96"/>
    <w:basedOn w:val="Normal"/>
    <w:rsid w:val="002A131B"/>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97">
    <w:name w:val="xl97"/>
    <w:basedOn w:val="Normal"/>
    <w:rsid w:val="002A13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8">
    <w:name w:val="xl98"/>
    <w:basedOn w:val="Normal"/>
    <w:rsid w:val="002A1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99">
    <w:name w:val="xl99"/>
    <w:basedOn w:val="Normal"/>
    <w:rsid w:val="002A1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00">
    <w:name w:val="xl100"/>
    <w:basedOn w:val="Normal"/>
    <w:rsid w:val="002A1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01">
    <w:name w:val="xl101"/>
    <w:basedOn w:val="Normal"/>
    <w:rsid w:val="002A1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02">
    <w:name w:val="xl102"/>
    <w:basedOn w:val="Normal"/>
    <w:rsid w:val="002A1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3">
    <w:name w:val="xl103"/>
    <w:basedOn w:val="Normal"/>
    <w:rsid w:val="002A1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4">
    <w:name w:val="xl104"/>
    <w:basedOn w:val="Normal"/>
    <w:rsid w:val="002A13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05">
    <w:name w:val="xl105"/>
    <w:basedOn w:val="Normal"/>
    <w:rsid w:val="002A13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2F09F8"/>
    <w:pPr>
      <w:spacing w:after="200" w:line="240" w:lineRule="auto"/>
    </w:pPr>
    <w:rPr>
      <w:i/>
      <w:iCs/>
      <w:color w:val="0E2841" w:themeColor="text2"/>
      <w:sz w:val="18"/>
      <w:szCs w:val="18"/>
    </w:rPr>
  </w:style>
  <w:style w:type="table" w:styleId="TableGrid">
    <w:name w:val="Table Grid"/>
    <w:basedOn w:val="TableNormal"/>
    <w:uiPriority w:val="39"/>
    <w:rsid w:val="00CC3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unhideWhenUsed/>
    <w:rsid w:val="00162ADF"/>
    <w:pPr>
      <w:spacing w:line="240" w:lineRule="auto"/>
    </w:pPr>
    <w:rPr>
      <w:sz w:val="20"/>
      <w:szCs w:val="20"/>
    </w:rPr>
  </w:style>
  <w:style w:type="character" w:customStyle="1" w:styleId="CommentTextChar">
    <w:name w:val="Comment Text Char"/>
    <w:basedOn w:val="DefaultParagraphFont"/>
    <w:link w:val="CommentText"/>
    <w:uiPriority w:val="99"/>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paragraph" w:styleId="Bibliography">
    <w:name w:val="Bibliography"/>
    <w:basedOn w:val="Normal"/>
    <w:next w:val="Normal"/>
    <w:uiPriority w:val="37"/>
    <w:unhideWhenUsed/>
    <w:rsid w:val="00F96348"/>
    <w:pPr>
      <w:tabs>
        <w:tab w:val="left" w:pos="624"/>
      </w:tabs>
      <w:spacing w:after="240" w:line="240" w:lineRule="auto"/>
      <w:ind w:left="624" w:hanging="624"/>
    </w:pPr>
  </w:style>
  <w:style w:type="paragraph" w:customStyle="1" w:styleId="Default">
    <w:name w:val="Default"/>
    <w:rsid w:val="008A7F13"/>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table" w:styleId="GridTable4-Accent1">
    <w:name w:val="Grid Table 4 Accent 1"/>
    <w:basedOn w:val="TableNormal"/>
    <w:uiPriority w:val="49"/>
    <w:rsid w:val="00BD3DBE"/>
    <w:pPr>
      <w:spacing w:after="0" w:line="240" w:lineRule="auto"/>
    </w:pPr>
    <w:rPr>
      <w:sz w:val="22"/>
      <w:szCs w:val="22"/>
      <w:lang w:val="en-IN"/>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reativecommons.org/licenses/by/4.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124D2-079D-40E4-AD98-07CFE31E1C63}">
  <ds:schemaRefs>
    <ds:schemaRef ds:uri="http://schemas.microsoft.com/office/2006/metadata/properties"/>
    <ds:schemaRef ds:uri="http://schemas.microsoft.com/office/infopath/2007/PartnerControls"/>
    <ds:schemaRef ds:uri="34ef6fd2-5125-4c23-b935-9d16404da0a5"/>
    <ds:schemaRef ds:uri="8c3c43cf-186b-4613-84b4-a4ff23217b56"/>
  </ds:schemaRefs>
</ds:datastoreItem>
</file>

<file path=customXml/itemProps2.xml><?xml version="1.0" encoding="utf-8"?>
<ds:datastoreItem xmlns:ds="http://schemas.openxmlformats.org/officeDocument/2006/customXml" ds:itemID="{F27836B1-BD32-4774-9560-A8586CBE0DC2}">
  <ds:schemaRefs>
    <ds:schemaRef ds:uri="http://schemas.microsoft.com/sharepoint/v3/contenttype/forms"/>
  </ds:schemaRefs>
</ds:datastoreItem>
</file>

<file path=customXml/itemProps3.xml><?xml version="1.0" encoding="utf-8"?>
<ds:datastoreItem xmlns:ds="http://schemas.openxmlformats.org/officeDocument/2006/customXml" ds:itemID="{99CA6473-0340-46B1-AAAC-5C23CCB6B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f6fd2-5125-4c23-b935-9d16404da0a5"/>
    <ds:schemaRef ds:uri="8c3c43cf-186b-4613-84b4-a4ff23217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58989</Words>
  <Characters>364555</Characters>
  <Application>Microsoft Office Word</Application>
  <DocSecurity>0</DocSecurity>
  <Lines>9593</Lines>
  <Paragraphs>4112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Okeke, Chijioke M</dc:creator>
  <cp:keywords/>
  <dc:description/>
  <cp:lastModifiedBy>Christian Robinson</cp:lastModifiedBy>
  <cp:revision>3</cp:revision>
  <dcterms:created xsi:type="dcterms:W3CDTF">2026-07-21T20:15:00Z</dcterms:created>
  <dcterms:modified xsi:type="dcterms:W3CDTF">2026-08-17T12:47:00Z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a2909c02-336a-48fb-abf1-a9682711423b</vt:lpwstr>
  </property>
  <property fmtid="{D5CDD505-2E9C-101B-9397-08002B2CF9AE}" pid="3" name="ZOTERO_PREF_1">
    <vt:lpwstr>&lt;data data-version="3" zotero-version="7.0.30"&gt;&lt;session id="CxFlMBUR"/&gt;&lt;style id="http://www.zotero.org/styles/plos-one" hasBibliography="1" bibliographyStyleHasBeenSet="1"/&gt;&lt;prefs&gt;&lt;pref name="fieldType" value="Field"/&gt;&lt;pref name="automaticJournalAbbrevia</vt:lpwstr>
  </property>
  <property fmtid="{D5CDD505-2E9C-101B-9397-08002B2CF9AE}" pid="4" name="ZOTERO_PREF_2">
    <vt:lpwstr>tions" value="true"/&gt;&lt;/prefs&gt;&lt;/data&gt;</vt:lpwstr>
  </property>
  <property fmtid="{D5CDD505-2E9C-101B-9397-08002B2CF9AE}" pid="5" name="ContentTypeId">
    <vt:lpwstr>0x010100FBDAB46CB42E974B8B343136A9C5AD12</vt:lpwstr>
  </property>
</Properties>
</file>